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3BA6D" w14:textId="53AA568B" w:rsidR="00E14584" w:rsidRDefault="00B86595">
      <w:pPr>
        <w:spacing w:line="360" w:lineRule="atLeast"/>
        <w:jc w:val="both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C6EDFC" wp14:editId="2E876546">
            <wp:simplePos x="0" y="0"/>
            <wp:positionH relativeFrom="margin">
              <wp:align>right</wp:align>
            </wp:positionH>
            <wp:positionV relativeFrom="paragraph">
              <wp:posOffset>-310101</wp:posOffset>
            </wp:positionV>
            <wp:extent cx="982980" cy="9144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C3C721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52BB2D88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71CE8D80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1C175233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45B93B2E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6E202694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6274F7EC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3C57F1D3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14E5045F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30E56663" w14:textId="77777777" w:rsidR="00E14584" w:rsidRDefault="00E14584">
      <w:pPr>
        <w:spacing w:line="360" w:lineRule="atLeast"/>
        <w:jc w:val="both"/>
        <w:rPr>
          <w:rFonts w:ascii="Times New Roman" w:hAnsi="Times New Roman"/>
          <w:b/>
        </w:rPr>
      </w:pPr>
    </w:p>
    <w:p w14:paraId="6B95AE71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TENDER  DOCUMENTS</w:t>
      </w:r>
      <w:proofErr w:type="gramEnd"/>
    </w:p>
    <w:p w14:paraId="68521404" w14:textId="77777777" w:rsidR="00E14584" w:rsidRDefault="00E14584">
      <w:pPr>
        <w:pStyle w:val="Heading3"/>
      </w:pPr>
      <w:proofErr w:type="gramStart"/>
      <w:r>
        <w:t>SPECIAL  CONDITIONS</w:t>
      </w:r>
      <w:proofErr w:type="gramEnd"/>
      <w:r>
        <w:t xml:space="preserve">  OF  CONTRACT</w:t>
      </w:r>
    </w:p>
    <w:p w14:paraId="2FD6DE1B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611386ED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452C1920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47CCB119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12B2E912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74A41AF9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56ABAE94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135541CE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48CA2DBD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0F498474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126B12FC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30C413E8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6D3C7442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43450508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49DEE3E4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06D96F75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5E9595DF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2BA378F6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39642CE4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531AF128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4BA26C90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312BB2C5" w14:textId="77777777" w:rsidR="00E14584" w:rsidRDefault="00E14584">
      <w:pPr>
        <w:spacing w:line="360" w:lineRule="atLeast"/>
        <w:jc w:val="center"/>
        <w:rPr>
          <w:rFonts w:ascii="Times New Roman" w:hAnsi="Times New Roman"/>
          <w:b/>
        </w:rPr>
      </w:pPr>
    </w:p>
    <w:p w14:paraId="7475FCF7" w14:textId="49F7CFF2" w:rsidR="00E14584" w:rsidRDefault="00980446">
      <w:pPr>
        <w:spacing w:line="36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PLD-CS</w:t>
      </w:r>
      <w:r w:rsidR="00EC33B0">
        <w:rPr>
          <w:rFonts w:ascii="Times New Roman" w:hAnsi="Times New Roman" w:hint="eastAsia"/>
          <w:b/>
          <w:lang w:eastAsia="zh-TW"/>
        </w:rPr>
        <w:t>19</w:t>
      </w:r>
      <w:r w:rsidR="005A687F"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</w:rPr>
        <w:t>/2</w:t>
      </w:r>
      <w:r w:rsidR="00EC33B0">
        <w:rPr>
          <w:rFonts w:ascii="Times New Roman" w:hAnsi="Times New Roman" w:hint="eastAsia"/>
          <w:b/>
          <w:lang w:eastAsia="zh-TW"/>
        </w:rPr>
        <w:t>5</w:t>
      </w:r>
      <w:r>
        <w:rPr>
          <w:rFonts w:ascii="Times New Roman" w:hAnsi="Times New Roman"/>
          <w:b/>
        </w:rPr>
        <w:t>/33</w:t>
      </w:r>
    </w:p>
    <w:p w14:paraId="6D7681EB" w14:textId="77777777" w:rsidR="00E14584" w:rsidRDefault="00E14584" w:rsidP="00966826">
      <w:pPr>
        <w:ind w:right="-308"/>
        <w:jc w:val="both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The complementary conditions set forth in these special conditions are in addition to, or complement of, the relevant conditions and provisions provided for in the General Conditions of Contract.</w:t>
      </w:r>
    </w:p>
    <w:p w14:paraId="76630DAD" w14:textId="77777777" w:rsidR="0029038A" w:rsidRPr="00F940ED" w:rsidRDefault="0029038A" w:rsidP="00966826">
      <w:pPr>
        <w:spacing w:after="120"/>
        <w:ind w:left="706" w:right="-308"/>
        <w:jc w:val="both"/>
        <w:rPr>
          <w:rFonts w:ascii="Times New Roman" w:hAnsi="Times New Roman"/>
          <w:szCs w:val="24"/>
        </w:rPr>
      </w:pPr>
    </w:p>
    <w:p w14:paraId="5110A90C" w14:textId="51463888" w:rsidR="00F17917" w:rsidRPr="002051FE" w:rsidRDefault="00F17917" w:rsidP="00F17917">
      <w:pPr>
        <w:pStyle w:val="BodyText"/>
        <w:tabs>
          <w:tab w:val="left" w:pos="1170"/>
        </w:tabs>
        <w:ind w:right="-3"/>
        <w:rPr>
          <w:rFonts w:ascii="Times New Roman" w:hAnsi="Times New Roman"/>
          <w:b/>
          <w:iCs/>
          <w:sz w:val="22"/>
        </w:rPr>
      </w:pPr>
      <w:r w:rsidRPr="002051FE">
        <w:rPr>
          <w:rFonts w:ascii="Times New Roman" w:hAnsi="Times New Roman"/>
          <w:b/>
          <w:iCs/>
          <w:sz w:val="22"/>
        </w:rPr>
        <w:t xml:space="preserve">Clause 2 </w:t>
      </w:r>
      <w:r w:rsidR="000557C4" w:rsidRPr="002051FE">
        <w:rPr>
          <w:rFonts w:ascii="Times New Roman" w:hAnsi="Times New Roman"/>
          <w:b/>
          <w:iCs/>
          <w:sz w:val="22"/>
        </w:rPr>
        <w:tab/>
      </w:r>
      <w:r w:rsidR="000557C4" w:rsidRPr="002051FE">
        <w:rPr>
          <w:rFonts w:ascii="Times New Roman" w:hAnsi="Times New Roman"/>
          <w:b/>
          <w:iCs/>
          <w:sz w:val="22"/>
        </w:rPr>
        <w:tab/>
      </w:r>
      <w:r w:rsidRPr="002051FE">
        <w:rPr>
          <w:rFonts w:ascii="Times New Roman" w:hAnsi="Times New Roman"/>
          <w:b/>
          <w:iCs/>
          <w:sz w:val="22"/>
        </w:rPr>
        <w:t>Contract Period</w:t>
      </w:r>
    </w:p>
    <w:p w14:paraId="07320D4D" w14:textId="6712C244" w:rsidR="0028603F" w:rsidRPr="002051FE" w:rsidRDefault="00F17917" w:rsidP="0028603F">
      <w:pPr>
        <w:ind w:left="706" w:right="-3"/>
        <w:jc w:val="both"/>
        <w:rPr>
          <w:rFonts w:ascii="Times New Roman" w:hAnsi="Times New Roman"/>
          <w:bCs/>
          <w:sz w:val="22"/>
          <w:szCs w:val="22"/>
          <w:lang w:eastAsia="zh-TW"/>
        </w:rPr>
      </w:pPr>
      <w:r w:rsidRPr="002051FE">
        <w:rPr>
          <w:rFonts w:ascii="Times New Roman" w:hAnsi="Times New Roman"/>
          <w:sz w:val="22"/>
          <w:lang w:eastAsia="zh-TW"/>
        </w:rPr>
        <w:t xml:space="preserve">The Contract Period will be </w:t>
      </w:r>
      <w:r w:rsidR="00021CDF" w:rsidRPr="002051FE">
        <w:rPr>
          <w:rFonts w:ascii="Times New Roman" w:hAnsi="Times New Roman"/>
          <w:sz w:val="22"/>
          <w:lang w:eastAsia="zh-TW"/>
        </w:rPr>
        <w:t>36</w:t>
      </w:r>
      <w:r w:rsidRPr="002051FE">
        <w:rPr>
          <w:rFonts w:ascii="Times New Roman" w:hAnsi="Times New Roman"/>
          <w:sz w:val="22"/>
          <w:lang w:eastAsia="zh-TW"/>
        </w:rPr>
        <w:t xml:space="preserve"> (</w:t>
      </w:r>
      <w:r w:rsidR="00021CDF" w:rsidRPr="002051FE">
        <w:rPr>
          <w:rFonts w:ascii="Times New Roman" w:hAnsi="Times New Roman"/>
          <w:sz w:val="22"/>
          <w:lang w:eastAsia="zh-TW"/>
        </w:rPr>
        <w:t>thirty-six</w:t>
      </w:r>
      <w:r w:rsidRPr="002051FE">
        <w:rPr>
          <w:rFonts w:ascii="Times New Roman" w:hAnsi="Times New Roman"/>
          <w:sz w:val="22"/>
          <w:lang w:eastAsia="zh-TW"/>
        </w:rPr>
        <w:t xml:space="preserve">) months, counting from the Contract Starting date; </w:t>
      </w:r>
      <w:r w:rsidR="0028603F" w:rsidRPr="002051FE">
        <w:rPr>
          <w:rFonts w:ascii="Times New Roman" w:hAnsi="Times New Roman"/>
          <w:b/>
          <w:sz w:val="22"/>
          <w:szCs w:val="22"/>
        </w:rPr>
        <w:t>from</w:t>
      </w:r>
      <w:r w:rsidR="0028603F" w:rsidRPr="002051FE">
        <w:rPr>
          <w:rFonts w:ascii="Times New Roman" w:hAnsi="Times New Roman"/>
          <w:sz w:val="22"/>
          <w:szCs w:val="22"/>
        </w:rPr>
        <w:t xml:space="preserve"> </w:t>
      </w:r>
      <w:r w:rsidR="0028603F" w:rsidRPr="002051FE">
        <w:rPr>
          <w:rFonts w:ascii="Times New Roman" w:hAnsi="Times New Roman"/>
          <w:b/>
          <w:sz w:val="22"/>
          <w:szCs w:val="22"/>
        </w:rPr>
        <w:t>1</w:t>
      </w:r>
      <w:r w:rsidR="0028603F" w:rsidRPr="002051FE">
        <w:rPr>
          <w:rFonts w:ascii="Times New Roman" w:hAnsi="Times New Roman"/>
          <w:b/>
          <w:sz w:val="22"/>
          <w:szCs w:val="22"/>
          <w:vertAlign w:val="superscript"/>
        </w:rPr>
        <w:t>st</w:t>
      </w:r>
      <w:r w:rsidR="00BA4B2F" w:rsidRPr="002051FE">
        <w:rPr>
          <w:rFonts w:ascii="Times New Roman" w:hAnsi="Times New Roman"/>
          <w:b/>
          <w:sz w:val="22"/>
          <w:szCs w:val="22"/>
        </w:rPr>
        <w:t xml:space="preserve"> </w:t>
      </w:r>
      <w:proofErr w:type="gramStart"/>
      <w:r w:rsidR="00EC33B0">
        <w:rPr>
          <w:rFonts w:ascii="Times New Roman" w:hAnsi="Times New Roman" w:hint="eastAsia"/>
          <w:b/>
          <w:sz w:val="22"/>
          <w:szCs w:val="22"/>
          <w:lang w:eastAsia="zh-TW"/>
        </w:rPr>
        <w:t>March</w:t>
      </w:r>
      <w:r w:rsidR="00BA4B2F" w:rsidRPr="002051FE">
        <w:rPr>
          <w:rFonts w:ascii="Times New Roman" w:hAnsi="Times New Roman"/>
          <w:b/>
          <w:sz w:val="22"/>
          <w:szCs w:val="22"/>
        </w:rPr>
        <w:t>,</w:t>
      </w:r>
      <w:proofErr w:type="gramEnd"/>
      <w:r w:rsidR="0028603F" w:rsidRPr="002051FE">
        <w:rPr>
          <w:rFonts w:ascii="Times New Roman" w:hAnsi="Times New Roman"/>
          <w:b/>
          <w:sz w:val="22"/>
          <w:szCs w:val="22"/>
        </w:rPr>
        <w:t xml:space="preserve"> 20</w:t>
      </w:r>
      <w:r w:rsidR="007F4794" w:rsidRPr="002051FE">
        <w:rPr>
          <w:rFonts w:ascii="Times New Roman" w:hAnsi="Times New Roman" w:hint="eastAsia"/>
          <w:b/>
          <w:sz w:val="22"/>
          <w:szCs w:val="22"/>
          <w:lang w:eastAsia="zh-TW"/>
        </w:rPr>
        <w:t>2</w:t>
      </w:r>
      <w:r w:rsidR="00B30DFF" w:rsidRPr="002051FE">
        <w:rPr>
          <w:rFonts w:ascii="Times New Roman" w:hAnsi="Times New Roman"/>
          <w:b/>
          <w:sz w:val="22"/>
          <w:szCs w:val="22"/>
          <w:lang w:eastAsia="zh-TW"/>
        </w:rPr>
        <w:t>6</w:t>
      </w:r>
      <w:r w:rsidR="0028603F" w:rsidRPr="002051FE">
        <w:rPr>
          <w:rFonts w:ascii="Times New Roman" w:hAnsi="Times New Roman"/>
          <w:b/>
          <w:sz w:val="22"/>
          <w:szCs w:val="22"/>
        </w:rPr>
        <w:t xml:space="preserve"> to </w:t>
      </w:r>
      <w:r w:rsidR="00EC33B0">
        <w:rPr>
          <w:rFonts w:ascii="Times New Roman" w:hAnsi="Times New Roman" w:hint="eastAsia"/>
          <w:b/>
          <w:sz w:val="22"/>
          <w:szCs w:val="22"/>
          <w:lang w:eastAsia="zh-TW"/>
        </w:rPr>
        <w:t>28</w:t>
      </w:r>
      <w:r w:rsidR="00EC33B0">
        <w:rPr>
          <w:rFonts w:ascii="Times New Roman" w:hAnsi="Times New Roman" w:hint="eastAsia"/>
          <w:b/>
          <w:sz w:val="22"/>
          <w:szCs w:val="22"/>
          <w:vertAlign w:val="superscript"/>
          <w:lang w:eastAsia="zh-TW"/>
        </w:rPr>
        <w:t>th</w:t>
      </w:r>
      <w:r w:rsidR="00BA4B2F" w:rsidRPr="002051FE">
        <w:rPr>
          <w:rFonts w:ascii="Times New Roman" w:hAnsi="Times New Roman"/>
          <w:b/>
          <w:sz w:val="22"/>
          <w:szCs w:val="22"/>
        </w:rPr>
        <w:t xml:space="preserve"> </w:t>
      </w:r>
      <w:r w:rsidR="00EC33B0">
        <w:rPr>
          <w:rFonts w:ascii="Times New Roman" w:hAnsi="Times New Roman"/>
          <w:b/>
          <w:sz w:val="22"/>
          <w:szCs w:val="22"/>
          <w:lang w:eastAsia="zh-TW"/>
        </w:rPr>
        <w:t>February</w:t>
      </w:r>
      <w:r w:rsidR="00BA4B2F" w:rsidRPr="002051FE">
        <w:rPr>
          <w:rFonts w:ascii="Times New Roman" w:hAnsi="Times New Roman"/>
          <w:b/>
          <w:sz w:val="22"/>
          <w:szCs w:val="22"/>
        </w:rPr>
        <w:t>,</w:t>
      </w:r>
      <w:r w:rsidR="00BC2C6B" w:rsidRPr="002051FE">
        <w:rPr>
          <w:rFonts w:ascii="Times New Roman" w:hAnsi="Times New Roman"/>
          <w:b/>
          <w:sz w:val="22"/>
          <w:szCs w:val="22"/>
        </w:rPr>
        <w:t xml:space="preserve"> 202</w:t>
      </w:r>
      <w:r w:rsidR="00EC33B0">
        <w:rPr>
          <w:rFonts w:ascii="Times New Roman" w:hAnsi="Times New Roman" w:hint="eastAsia"/>
          <w:b/>
          <w:sz w:val="22"/>
          <w:szCs w:val="22"/>
          <w:lang w:eastAsia="zh-TW"/>
        </w:rPr>
        <w:t>9</w:t>
      </w:r>
      <w:r w:rsidR="005F7580" w:rsidRPr="002051FE">
        <w:rPr>
          <w:rFonts w:ascii="Times New Roman" w:hAnsi="Times New Roman"/>
          <w:bCs/>
          <w:sz w:val="22"/>
          <w:szCs w:val="22"/>
          <w:lang w:eastAsia="zh-TW"/>
        </w:rPr>
        <w:t xml:space="preserve">, and could be extended for the subsequent </w:t>
      </w:r>
      <w:r w:rsidR="00DF483D" w:rsidRPr="002051FE">
        <w:rPr>
          <w:rFonts w:ascii="Times New Roman" w:hAnsi="Times New Roman" w:hint="eastAsia"/>
          <w:bCs/>
          <w:sz w:val="22"/>
          <w:szCs w:val="22"/>
          <w:lang w:eastAsia="zh-TW"/>
        </w:rPr>
        <w:t>3</w:t>
      </w:r>
      <w:r w:rsidR="005F7580" w:rsidRPr="002051FE">
        <w:rPr>
          <w:rFonts w:ascii="Times New Roman" w:hAnsi="Times New Roman"/>
          <w:bCs/>
          <w:sz w:val="22"/>
          <w:szCs w:val="22"/>
          <w:lang w:eastAsia="zh-TW"/>
        </w:rPr>
        <w:t xml:space="preserve"> years (Option) subject to CEM’s decision based on the Contractor’s performance and CEM’s business needs, under the following pricing condition:</w:t>
      </w:r>
    </w:p>
    <w:p w14:paraId="5BB14A96" w14:textId="77777777" w:rsidR="005F7580" w:rsidRPr="002051FE" w:rsidRDefault="005F7580" w:rsidP="0028603F">
      <w:pPr>
        <w:ind w:left="706" w:right="-3"/>
        <w:jc w:val="both"/>
        <w:rPr>
          <w:rFonts w:ascii="Times New Roman" w:hAnsi="Times New Roman"/>
          <w:bCs/>
          <w:sz w:val="22"/>
          <w:szCs w:val="22"/>
          <w:lang w:eastAsia="zh-TW"/>
        </w:rPr>
      </w:pPr>
    </w:p>
    <w:p w14:paraId="6A9C856F" w14:textId="7FE26237" w:rsidR="005F7580" w:rsidRPr="002051FE" w:rsidRDefault="005F7580" w:rsidP="005F7580">
      <w:pPr>
        <w:pStyle w:val="ListParagraph"/>
        <w:numPr>
          <w:ilvl w:val="0"/>
          <w:numId w:val="34"/>
        </w:numPr>
        <w:tabs>
          <w:tab w:val="left" w:pos="-1440"/>
          <w:tab w:val="left" w:pos="-720"/>
          <w:tab w:val="left" w:pos="630"/>
          <w:tab w:val="left" w:pos="990"/>
          <w:tab w:val="left" w:pos="1985"/>
          <w:tab w:val="left" w:pos="2269"/>
          <w:tab w:val="left" w:pos="9270"/>
        </w:tabs>
        <w:ind w:left="630" w:right="45" w:firstLine="0"/>
        <w:contextualSpacing/>
        <w:jc w:val="both"/>
        <w:rPr>
          <w:rFonts w:ascii="Times New Roman" w:hAnsi="Times New Roman"/>
          <w:bCs/>
          <w:sz w:val="22"/>
        </w:rPr>
      </w:pPr>
      <w:r w:rsidRPr="002051FE">
        <w:rPr>
          <w:rFonts w:ascii="Times New Roman" w:hAnsi="Times New Roman"/>
          <w:bCs/>
          <w:sz w:val="22"/>
        </w:rPr>
        <w:t xml:space="preserve">First </w:t>
      </w:r>
      <w:r w:rsidR="00DF483D" w:rsidRPr="002051FE">
        <w:rPr>
          <w:rFonts w:ascii="Times New Roman" w:hAnsi="Times New Roman" w:hint="eastAsia"/>
          <w:bCs/>
          <w:sz w:val="22"/>
          <w:lang w:eastAsia="zh-TW"/>
        </w:rPr>
        <w:t>3</w:t>
      </w:r>
      <w:r w:rsidRPr="002051FE">
        <w:rPr>
          <w:rFonts w:ascii="Times New Roman" w:hAnsi="Times New Roman"/>
          <w:bCs/>
          <w:sz w:val="22"/>
        </w:rPr>
        <w:t xml:space="preserve"> years (</w:t>
      </w:r>
      <w:r w:rsidR="00EC33B0" w:rsidRPr="00EC33B0">
        <w:rPr>
          <w:rFonts w:ascii="Times New Roman" w:hAnsi="Times New Roman"/>
          <w:b/>
          <w:bCs/>
          <w:sz w:val="22"/>
        </w:rPr>
        <w:t>01/Mar/2026 to 28/Feb/2029</w:t>
      </w:r>
      <w:r w:rsidRPr="002051FE">
        <w:rPr>
          <w:rFonts w:ascii="Times New Roman" w:hAnsi="Times New Roman"/>
          <w:bCs/>
          <w:sz w:val="22"/>
        </w:rPr>
        <w:t>): fixed prices</w:t>
      </w:r>
    </w:p>
    <w:p w14:paraId="11B7D6E8" w14:textId="77777777" w:rsidR="005F7580" w:rsidRPr="002051FE" w:rsidRDefault="005F7580" w:rsidP="005F7580">
      <w:pPr>
        <w:pStyle w:val="ListParagraph"/>
        <w:tabs>
          <w:tab w:val="left" w:pos="-1440"/>
          <w:tab w:val="left" w:pos="-720"/>
          <w:tab w:val="left" w:pos="630"/>
          <w:tab w:val="left" w:pos="990"/>
          <w:tab w:val="left" w:pos="1985"/>
          <w:tab w:val="left" w:pos="2269"/>
          <w:tab w:val="left" w:pos="9270"/>
        </w:tabs>
        <w:ind w:left="630" w:right="45"/>
        <w:contextualSpacing/>
        <w:rPr>
          <w:rFonts w:ascii="Times New Roman" w:hAnsi="Times New Roman"/>
          <w:bCs/>
          <w:sz w:val="22"/>
        </w:rPr>
      </w:pPr>
    </w:p>
    <w:p w14:paraId="54BC451E" w14:textId="3C8394F5" w:rsidR="005F7580" w:rsidRPr="002051FE" w:rsidRDefault="005F7580" w:rsidP="005F7580">
      <w:pPr>
        <w:pStyle w:val="ListParagraph"/>
        <w:numPr>
          <w:ilvl w:val="0"/>
          <w:numId w:val="34"/>
        </w:numPr>
        <w:tabs>
          <w:tab w:val="left" w:pos="-1440"/>
          <w:tab w:val="left" w:pos="-720"/>
          <w:tab w:val="left" w:pos="990"/>
          <w:tab w:val="left" w:pos="1985"/>
          <w:tab w:val="left" w:pos="2269"/>
          <w:tab w:val="left" w:pos="9270"/>
        </w:tabs>
        <w:ind w:left="990" w:right="45"/>
        <w:contextualSpacing/>
        <w:jc w:val="both"/>
        <w:rPr>
          <w:rFonts w:ascii="Times New Roman" w:hAnsi="Times New Roman"/>
          <w:bCs/>
          <w:sz w:val="22"/>
        </w:rPr>
      </w:pPr>
      <w:r w:rsidRPr="002051FE">
        <w:rPr>
          <w:rFonts w:ascii="Times New Roman" w:hAnsi="Times New Roman"/>
          <w:bCs/>
          <w:sz w:val="22"/>
        </w:rPr>
        <w:t xml:space="preserve">Following a </w:t>
      </w:r>
      <w:r w:rsidR="00BB0EF4" w:rsidRPr="002051FE">
        <w:rPr>
          <w:rFonts w:ascii="Times New Roman" w:hAnsi="Times New Roman"/>
          <w:bCs/>
          <w:sz w:val="22"/>
          <w:lang w:eastAsia="zh-TW"/>
        </w:rPr>
        <w:t>3</w:t>
      </w:r>
      <w:r w:rsidRPr="002051FE">
        <w:rPr>
          <w:rFonts w:ascii="Times New Roman" w:hAnsi="Times New Roman"/>
          <w:bCs/>
          <w:sz w:val="22"/>
        </w:rPr>
        <w:t>-year extension (</w:t>
      </w:r>
      <w:r w:rsidRPr="002051FE">
        <w:rPr>
          <w:rFonts w:ascii="Times New Roman" w:hAnsi="Times New Roman"/>
          <w:bCs/>
          <w:color w:val="0000FF"/>
          <w:sz w:val="22"/>
        </w:rPr>
        <w:t>Option</w:t>
      </w:r>
      <w:r w:rsidRPr="002051FE">
        <w:rPr>
          <w:rFonts w:ascii="Times New Roman" w:hAnsi="Times New Roman"/>
          <w:bCs/>
          <w:sz w:val="22"/>
        </w:rPr>
        <w:t xml:space="preserve">, from </w:t>
      </w:r>
      <w:r w:rsidR="00EC33B0" w:rsidRPr="00EC33B0">
        <w:rPr>
          <w:rFonts w:ascii="Times New Roman" w:hAnsi="Times New Roman"/>
          <w:bCs/>
          <w:sz w:val="22"/>
        </w:rPr>
        <w:t>01/Mar/2029 to 29/Feb/2032</w:t>
      </w:r>
      <w:r w:rsidRPr="002051FE">
        <w:rPr>
          <w:rFonts w:ascii="Times New Roman" w:hAnsi="Times New Roman"/>
          <w:bCs/>
          <w:sz w:val="22"/>
        </w:rPr>
        <w:t>): unit prices to be adjusted for one time by the factor based on the formula (round off to the nearest integer):</w:t>
      </w:r>
    </w:p>
    <w:p w14:paraId="056BC7C9" w14:textId="33441663" w:rsidR="005F7580" w:rsidRPr="002051FE" w:rsidRDefault="005F7580" w:rsidP="005F7580">
      <w:pPr>
        <w:pStyle w:val="ListParagraph"/>
        <w:widowControl w:val="0"/>
        <w:numPr>
          <w:ilvl w:val="1"/>
          <w:numId w:val="34"/>
        </w:numPr>
        <w:tabs>
          <w:tab w:val="left" w:pos="-720"/>
          <w:tab w:val="left" w:pos="360"/>
        </w:tabs>
        <w:spacing w:before="60" w:after="60"/>
        <w:ind w:right="43"/>
        <w:jc w:val="both"/>
        <w:rPr>
          <w:rFonts w:ascii="Times New Roman" w:hAnsi="Times New Roman"/>
          <w:snapToGrid w:val="0"/>
          <w:color w:val="000000" w:themeColor="text1"/>
          <w:spacing w:val="-4"/>
          <w:sz w:val="22"/>
          <w:szCs w:val="18"/>
          <w:lang w:val="en"/>
        </w:rPr>
      </w:pPr>
      <w:r w:rsidRPr="002051FE">
        <w:rPr>
          <w:rFonts w:ascii="Times New Roman" w:hAnsi="Times New Roman"/>
          <w:snapToGrid w:val="0"/>
          <w:color w:val="000000" w:themeColor="text1"/>
          <w:spacing w:val="-4"/>
          <w:sz w:val="22"/>
          <w:szCs w:val="18"/>
          <w:lang w:val="en"/>
        </w:rPr>
        <w:t>CCPI** of 202</w:t>
      </w:r>
      <w:r w:rsidR="00BB0EF4" w:rsidRPr="002051FE">
        <w:rPr>
          <w:rFonts w:ascii="Times New Roman" w:hAnsi="Times New Roman"/>
          <w:snapToGrid w:val="0"/>
          <w:color w:val="000000" w:themeColor="text1"/>
          <w:spacing w:val="-4"/>
          <w:sz w:val="22"/>
          <w:szCs w:val="18"/>
          <w:lang w:val="en"/>
        </w:rPr>
        <w:t>7</w:t>
      </w:r>
      <w:r w:rsidRPr="002051FE">
        <w:rPr>
          <w:rFonts w:ascii="Times New Roman" w:hAnsi="Times New Roman"/>
          <w:snapToGrid w:val="0"/>
          <w:color w:val="000000" w:themeColor="text1"/>
          <w:spacing w:val="-4"/>
          <w:sz w:val="22"/>
          <w:szCs w:val="18"/>
          <w:lang w:val="en"/>
        </w:rPr>
        <w:t xml:space="preserve"> over CCPI** of 202</w:t>
      </w:r>
      <w:r w:rsidR="00BB0EF4" w:rsidRPr="002051FE">
        <w:rPr>
          <w:rFonts w:ascii="Times New Roman" w:hAnsi="Times New Roman"/>
          <w:snapToGrid w:val="0"/>
          <w:color w:val="000000" w:themeColor="text1"/>
          <w:spacing w:val="-4"/>
          <w:sz w:val="22"/>
          <w:szCs w:val="18"/>
          <w:lang w:val="en"/>
        </w:rPr>
        <w:t>6</w:t>
      </w:r>
      <w:r w:rsidRPr="002051FE">
        <w:rPr>
          <w:rFonts w:ascii="Times New Roman" w:hAnsi="Times New Roman"/>
          <w:snapToGrid w:val="0"/>
          <w:color w:val="000000" w:themeColor="text1"/>
          <w:spacing w:val="-4"/>
          <w:sz w:val="22"/>
          <w:szCs w:val="18"/>
          <w:lang w:val="en"/>
        </w:rPr>
        <w:t xml:space="preserve"> </w:t>
      </w:r>
    </w:p>
    <w:p w14:paraId="7349C7DA" w14:textId="77777777" w:rsidR="005F7580" w:rsidRDefault="005F7580" w:rsidP="005F7580">
      <w:pPr>
        <w:tabs>
          <w:tab w:val="left" w:pos="-1440"/>
          <w:tab w:val="left" w:pos="-720"/>
          <w:tab w:val="left" w:pos="1170"/>
        </w:tabs>
        <w:spacing w:before="120"/>
        <w:ind w:left="993" w:right="45" w:hanging="273"/>
        <w:rPr>
          <w:rFonts w:ascii="Times New Roman" w:hAnsi="Times New Roman"/>
          <w:sz w:val="22"/>
          <w:lang w:val="en-GB" w:eastAsia="zh-TW"/>
        </w:rPr>
      </w:pPr>
      <w:r>
        <w:rPr>
          <w:rFonts w:ascii="Times New Roman" w:hAnsi="Times New Roman"/>
          <w:iCs/>
          <w:sz w:val="18"/>
        </w:rPr>
        <w:t xml:space="preserve">** CCPI refers to the Composite Consumer Price Index published officially by the Statistics and Census Service </w:t>
      </w:r>
      <w:proofErr w:type="gramStart"/>
      <w:r>
        <w:rPr>
          <w:rFonts w:ascii="Times New Roman" w:hAnsi="Times New Roman"/>
          <w:iCs/>
          <w:sz w:val="18"/>
        </w:rPr>
        <w:t>of  the</w:t>
      </w:r>
      <w:proofErr w:type="gramEnd"/>
      <w:r>
        <w:rPr>
          <w:rFonts w:ascii="Times New Roman" w:hAnsi="Times New Roman"/>
          <w:iCs/>
          <w:sz w:val="18"/>
        </w:rPr>
        <w:t xml:space="preserve"> Macau Special Administrative Region (MSAR) of the People’s Republic of China.</w:t>
      </w:r>
    </w:p>
    <w:p w14:paraId="1D59ADF7" w14:textId="77777777" w:rsidR="005F7580" w:rsidRDefault="005F7580" w:rsidP="005F7580">
      <w:pPr>
        <w:ind w:right="-3"/>
        <w:jc w:val="both"/>
        <w:rPr>
          <w:rFonts w:ascii="Times New Roman" w:hAnsi="Times New Roman"/>
          <w:b/>
          <w:sz w:val="22"/>
          <w:szCs w:val="22"/>
          <w:lang w:eastAsia="zh-TW"/>
        </w:rPr>
      </w:pPr>
    </w:p>
    <w:p w14:paraId="755E7FD4" w14:textId="77777777" w:rsidR="005F7580" w:rsidRPr="005F7580" w:rsidRDefault="005F7580" w:rsidP="005F7580">
      <w:pPr>
        <w:pStyle w:val="BodyText"/>
        <w:tabs>
          <w:tab w:val="left" w:pos="1170"/>
        </w:tabs>
        <w:ind w:right="-3"/>
        <w:rPr>
          <w:rFonts w:ascii="Times New Roman" w:hAnsi="Times New Roman"/>
          <w:b/>
          <w:iCs/>
          <w:sz w:val="22"/>
        </w:rPr>
      </w:pPr>
      <w:r w:rsidRPr="005F7580">
        <w:rPr>
          <w:rFonts w:ascii="Times New Roman" w:hAnsi="Times New Roman"/>
          <w:b/>
          <w:iCs/>
          <w:sz w:val="22"/>
        </w:rPr>
        <w:t>Clause 7.3 –</w:t>
      </w:r>
      <w:r w:rsidRPr="005F7580">
        <w:rPr>
          <w:rFonts w:ascii="Times New Roman" w:hAnsi="Times New Roman"/>
          <w:b/>
          <w:iCs/>
          <w:sz w:val="22"/>
        </w:rPr>
        <w:tab/>
        <w:t>Performance Security</w:t>
      </w:r>
    </w:p>
    <w:p w14:paraId="455AD1E4" w14:textId="4D7FA024" w:rsidR="005F7580" w:rsidRDefault="005F7580" w:rsidP="005F7580">
      <w:pPr>
        <w:pStyle w:val="BodyText"/>
        <w:tabs>
          <w:tab w:val="left" w:pos="1170"/>
        </w:tabs>
        <w:ind w:right="-3"/>
        <w:rPr>
          <w:rFonts w:ascii="Times New Roman" w:hAnsi="Times New Roman"/>
          <w:b/>
          <w:bCs/>
          <w:sz w:val="22"/>
          <w:lang w:eastAsia="zh-TW"/>
        </w:rPr>
      </w:pPr>
      <w:r>
        <w:rPr>
          <w:rFonts w:ascii="Times New Roman" w:hAnsi="Times New Roman"/>
          <w:sz w:val="22"/>
          <w:lang w:eastAsia="zh-TW"/>
        </w:rPr>
        <w:tab/>
      </w:r>
      <w:r w:rsidRPr="005F7580">
        <w:rPr>
          <w:rFonts w:ascii="Times New Roman" w:hAnsi="Times New Roman"/>
          <w:sz w:val="22"/>
          <w:lang w:eastAsia="zh-TW"/>
        </w:rPr>
        <w:t xml:space="preserve">Required Amount: </w:t>
      </w:r>
      <w:r w:rsidR="00EC33B0" w:rsidRPr="00EC33B0">
        <w:rPr>
          <w:rFonts w:ascii="Times New Roman" w:hAnsi="Times New Roman" w:hint="eastAsia"/>
          <w:b/>
          <w:bCs/>
          <w:sz w:val="22"/>
          <w:lang w:eastAsia="zh-TW"/>
        </w:rPr>
        <w:t>MOP</w:t>
      </w:r>
      <w:r w:rsidR="00074623">
        <w:rPr>
          <w:rFonts w:ascii="Times New Roman" w:hAnsi="Times New Roman" w:hint="eastAsia"/>
          <w:b/>
          <w:bCs/>
          <w:sz w:val="22"/>
          <w:lang w:eastAsia="zh-TW"/>
        </w:rPr>
        <w:t>75</w:t>
      </w:r>
      <w:r w:rsidR="00EC33B0" w:rsidRPr="00EC33B0">
        <w:rPr>
          <w:rFonts w:ascii="Times New Roman" w:hAnsi="Times New Roman" w:hint="eastAsia"/>
          <w:b/>
          <w:bCs/>
          <w:sz w:val="22"/>
          <w:lang w:eastAsia="zh-TW"/>
        </w:rPr>
        <w:t>0,000.00</w:t>
      </w:r>
    </w:p>
    <w:p w14:paraId="2CBD85C1" w14:textId="77777777" w:rsidR="00074623" w:rsidRDefault="00074623" w:rsidP="005F7580">
      <w:pPr>
        <w:pStyle w:val="BodyText"/>
        <w:tabs>
          <w:tab w:val="left" w:pos="1170"/>
        </w:tabs>
        <w:ind w:right="-3"/>
        <w:rPr>
          <w:rFonts w:ascii="Times New Roman" w:hAnsi="Times New Roman"/>
          <w:b/>
          <w:bCs/>
          <w:sz w:val="22"/>
          <w:lang w:eastAsia="zh-TW"/>
        </w:rPr>
      </w:pPr>
    </w:p>
    <w:p w14:paraId="27EBDFDC" w14:textId="42C1E2B6" w:rsidR="00074623" w:rsidRPr="00074623" w:rsidRDefault="00074623" w:rsidP="00074623">
      <w:pPr>
        <w:pStyle w:val="BodyText"/>
        <w:tabs>
          <w:tab w:val="left" w:pos="1170"/>
        </w:tabs>
        <w:ind w:right="-3"/>
        <w:rPr>
          <w:rFonts w:ascii="Times New Roman" w:hAnsi="Times New Roman"/>
          <w:b/>
          <w:iCs/>
          <w:sz w:val="22"/>
        </w:rPr>
      </w:pPr>
      <w:r w:rsidRPr="00074623">
        <w:rPr>
          <w:rFonts w:ascii="Times New Roman" w:hAnsi="Times New Roman"/>
          <w:b/>
          <w:iCs/>
          <w:sz w:val="22"/>
        </w:rPr>
        <w:t>Clause 10</w:t>
      </w:r>
      <w:r>
        <w:rPr>
          <w:rFonts w:ascii="Times New Roman" w:hAnsi="Times New Roman" w:hint="eastAsia"/>
          <w:b/>
          <w:iCs/>
          <w:sz w:val="22"/>
          <w:lang w:eastAsia="zh-TW"/>
        </w:rPr>
        <w:t xml:space="preserve"> - </w:t>
      </w:r>
      <w:r w:rsidRPr="00074623">
        <w:rPr>
          <w:rFonts w:ascii="Times New Roman" w:hAnsi="Times New Roman"/>
          <w:b/>
          <w:iCs/>
          <w:sz w:val="22"/>
        </w:rPr>
        <w:t>Liquidated Damage</w:t>
      </w:r>
    </w:p>
    <w:p w14:paraId="242886AB" w14:textId="713A04D7" w:rsidR="000F7D42" w:rsidRDefault="00074623" w:rsidP="00074623">
      <w:pPr>
        <w:pStyle w:val="BodyText"/>
        <w:tabs>
          <w:tab w:val="left" w:pos="1170"/>
        </w:tabs>
        <w:ind w:left="1170" w:right="-3"/>
        <w:rPr>
          <w:rFonts w:ascii="Times New Roman" w:hAnsi="Times New Roman"/>
          <w:sz w:val="22"/>
          <w:lang w:eastAsia="zh-TW"/>
        </w:rPr>
      </w:pPr>
      <w:r w:rsidRPr="00074623">
        <w:rPr>
          <w:rFonts w:ascii="Times New Roman" w:hAnsi="Times New Roman"/>
          <w:sz w:val="22"/>
          <w:lang w:eastAsia="zh-TW"/>
        </w:rPr>
        <w:t xml:space="preserve">Liquidated damages will apply at the rate of </w:t>
      </w:r>
      <w:r w:rsidRPr="00074623">
        <w:rPr>
          <w:rFonts w:ascii="Times New Roman" w:hAnsi="Times New Roman"/>
          <w:b/>
          <w:bCs/>
          <w:sz w:val="22"/>
          <w:lang w:eastAsia="zh-TW"/>
        </w:rPr>
        <w:t>5%</w:t>
      </w:r>
      <w:r w:rsidRPr="00074623">
        <w:rPr>
          <w:rFonts w:ascii="Times New Roman" w:hAnsi="Times New Roman"/>
          <w:sz w:val="22"/>
          <w:lang w:eastAsia="zh-TW"/>
        </w:rPr>
        <w:t xml:space="preserve"> of the service orders amount per day of delay of work, up to a maximum of </w:t>
      </w:r>
      <w:r w:rsidRPr="00074623">
        <w:rPr>
          <w:rFonts w:ascii="Times New Roman" w:hAnsi="Times New Roman"/>
          <w:b/>
          <w:bCs/>
          <w:sz w:val="22"/>
          <w:lang w:eastAsia="zh-TW"/>
        </w:rPr>
        <w:t>20%</w:t>
      </w:r>
      <w:r w:rsidRPr="00074623">
        <w:rPr>
          <w:rFonts w:ascii="Times New Roman" w:hAnsi="Times New Roman"/>
          <w:sz w:val="22"/>
          <w:lang w:eastAsia="zh-TW"/>
        </w:rPr>
        <w:t xml:space="preserve"> of the price for the total orders issued within the month, and without prejudice to the right of CEM to claim the Contractor for indemnification due to breach or non-accomplishment of this Contract.</w:t>
      </w:r>
    </w:p>
    <w:p w14:paraId="67FE0861" w14:textId="77777777" w:rsidR="00074623" w:rsidRPr="00074623" w:rsidRDefault="00074623" w:rsidP="00074623">
      <w:pPr>
        <w:pStyle w:val="BodyText"/>
        <w:tabs>
          <w:tab w:val="left" w:pos="1170"/>
        </w:tabs>
        <w:ind w:left="1170" w:right="-3"/>
        <w:rPr>
          <w:rFonts w:ascii="Times New Roman" w:hAnsi="Times New Roman"/>
          <w:sz w:val="22"/>
          <w:lang w:eastAsia="zh-TW"/>
        </w:rPr>
      </w:pPr>
    </w:p>
    <w:p w14:paraId="41C3189A" w14:textId="1D473EF0" w:rsidR="00FE652C" w:rsidRPr="007056CF" w:rsidRDefault="00FE652C" w:rsidP="00FE652C">
      <w:pPr>
        <w:spacing w:after="120"/>
        <w:ind w:right="-363"/>
        <w:jc w:val="both"/>
        <w:rPr>
          <w:rFonts w:ascii="Times New Roman" w:hAnsi="Times New Roman"/>
          <w:b/>
          <w:sz w:val="22"/>
          <w:szCs w:val="22"/>
        </w:rPr>
      </w:pPr>
      <w:r w:rsidRPr="007056CF">
        <w:rPr>
          <w:rFonts w:ascii="Times New Roman" w:hAnsi="Times New Roman"/>
          <w:b/>
          <w:sz w:val="22"/>
          <w:szCs w:val="22"/>
        </w:rPr>
        <w:t>Clause</w:t>
      </w:r>
      <w:r w:rsidR="000557C4">
        <w:rPr>
          <w:rFonts w:ascii="Times New Roman" w:hAnsi="Times New Roman"/>
          <w:b/>
          <w:sz w:val="22"/>
          <w:szCs w:val="22"/>
        </w:rPr>
        <w:t xml:space="preserve"> </w:t>
      </w:r>
      <w:r w:rsidRPr="007056CF">
        <w:rPr>
          <w:rFonts w:ascii="Times New Roman" w:hAnsi="Times New Roman"/>
          <w:b/>
          <w:sz w:val="22"/>
          <w:szCs w:val="22"/>
        </w:rPr>
        <w:t>11.2</w:t>
      </w:r>
      <w:r w:rsidR="000557C4">
        <w:rPr>
          <w:rFonts w:ascii="Times New Roman" w:hAnsi="Times New Roman"/>
          <w:b/>
          <w:sz w:val="22"/>
          <w:szCs w:val="22"/>
        </w:rPr>
        <w:tab/>
      </w:r>
      <w:r w:rsidRPr="007056CF">
        <w:rPr>
          <w:rFonts w:ascii="Times New Roman" w:hAnsi="Times New Roman"/>
          <w:b/>
          <w:sz w:val="22"/>
          <w:szCs w:val="22"/>
        </w:rPr>
        <w:t xml:space="preserve">Fines/Penalties for </w:t>
      </w:r>
      <w:r w:rsidRPr="007056CF">
        <w:rPr>
          <w:rFonts w:ascii="Times New Roman" w:hAnsi="Times New Roman"/>
          <w:b/>
          <w:sz w:val="22"/>
          <w:szCs w:val="22"/>
          <w:u w:val="single"/>
        </w:rPr>
        <w:t>Safety</w:t>
      </w:r>
      <w:r w:rsidRPr="007056CF">
        <w:rPr>
          <w:rFonts w:ascii="Times New Roman" w:hAnsi="Times New Roman"/>
          <w:b/>
          <w:sz w:val="22"/>
          <w:szCs w:val="22"/>
        </w:rPr>
        <w:t xml:space="preserve"> Non-Compliance</w:t>
      </w:r>
    </w:p>
    <w:p w14:paraId="01352234" w14:textId="77777777" w:rsidR="007F4794" w:rsidRPr="007F4794" w:rsidRDefault="007F4794" w:rsidP="007F4794">
      <w:pPr>
        <w:ind w:left="720" w:right="-339"/>
        <w:jc w:val="both"/>
        <w:rPr>
          <w:rFonts w:ascii="Times New Roman" w:hAnsi="Times New Roman"/>
          <w:sz w:val="22"/>
          <w:szCs w:val="22"/>
        </w:rPr>
      </w:pPr>
      <w:bookmarkStart w:id="0" w:name="_Hlk94004580"/>
      <w:r w:rsidRPr="007F4794">
        <w:rPr>
          <w:rFonts w:ascii="Times New Roman" w:hAnsi="Times New Roman" w:hint="eastAsia"/>
          <w:sz w:val="22"/>
          <w:szCs w:val="22"/>
        </w:rPr>
        <w:t xml:space="preserve">In the event of breaching environmental and safety obligations, </w:t>
      </w:r>
      <w:r w:rsidRPr="007F4794">
        <w:rPr>
          <w:rFonts w:ascii="Times New Roman" w:hAnsi="Times New Roman"/>
          <w:sz w:val="22"/>
          <w:szCs w:val="22"/>
        </w:rPr>
        <w:t xml:space="preserve">the Contractor shall pay to CEM the </w:t>
      </w:r>
      <w:r w:rsidRPr="007F4794">
        <w:rPr>
          <w:rFonts w:ascii="Times New Roman" w:hAnsi="Times New Roman" w:hint="eastAsia"/>
          <w:sz w:val="22"/>
          <w:szCs w:val="22"/>
        </w:rPr>
        <w:t xml:space="preserve">penalties according </w:t>
      </w:r>
      <w:r w:rsidRPr="007F4794">
        <w:rPr>
          <w:rFonts w:ascii="Times New Roman" w:hAnsi="Times New Roman"/>
          <w:sz w:val="22"/>
          <w:szCs w:val="22"/>
        </w:rPr>
        <w:t>to the latest version of “SHE Non-Compliance in Contract Managed by CEM”, and without prejudice to the right of CEM to claim the Contractor for indemnification due to such non-compliance.</w:t>
      </w:r>
    </w:p>
    <w:bookmarkEnd w:id="0"/>
    <w:p w14:paraId="5CB6BF6F" w14:textId="77777777" w:rsidR="001D32C6" w:rsidRPr="007056CF" w:rsidRDefault="001D32C6" w:rsidP="00966826">
      <w:pPr>
        <w:spacing w:after="120"/>
        <w:ind w:right="-308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9DAF9D6" w14:textId="0DF38DDB" w:rsidR="0029038A" w:rsidRPr="007056CF" w:rsidRDefault="0029038A" w:rsidP="00F17917">
      <w:pPr>
        <w:tabs>
          <w:tab w:val="left" w:pos="1170"/>
        </w:tabs>
        <w:spacing w:after="120"/>
        <w:ind w:right="-308"/>
        <w:jc w:val="both"/>
        <w:rPr>
          <w:rFonts w:ascii="Times New Roman" w:hAnsi="Times New Roman"/>
          <w:b/>
          <w:bCs/>
          <w:sz w:val="22"/>
          <w:szCs w:val="22"/>
        </w:rPr>
      </w:pPr>
      <w:bookmarkStart w:id="1" w:name="_Hlk167802026"/>
      <w:r w:rsidRPr="007056CF">
        <w:rPr>
          <w:rFonts w:ascii="Times New Roman" w:hAnsi="Times New Roman"/>
          <w:b/>
          <w:bCs/>
          <w:sz w:val="22"/>
          <w:szCs w:val="22"/>
        </w:rPr>
        <w:t>Clause 1</w:t>
      </w:r>
      <w:r w:rsidR="004125DB" w:rsidRPr="007056CF">
        <w:rPr>
          <w:rFonts w:ascii="Times New Roman" w:hAnsi="Times New Roman"/>
          <w:b/>
          <w:bCs/>
          <w:sz w:val="22"/>
          <w:szCs w:val="22"/>
        </w:rPr>
        <w:t>1</w:t>
      </w:r>
      <w:r w:rsidR="00F17917">
        <w:rPr>
          <w:rFonts w:ascii="Times New Roman" w:hAnsi="Times New Roman"/>
          <w:b/>
          <w:bCs/>
          <w:sz w:val="22"/>
          <w:szCs w:val="22"/>
        </w:rPr>
        <w:t>.2 </w:t>
      </w:r>
      <w:r w:rsidR="00F17917">
        <w:rPr>
          <w:rFonts w:ascii="Times New Roman" w:hAnsi="Times New Roman"/>
          <w:b/>
          <w:bCs/>
          <w:sz w:val="22"/>
          <w:szCs w:val="22"/>
        </w:rPr>
        <w:tab/>
      </w:r>
      <w:r w:rsidR="000557C4">
        <w:rPr>
          <w:rFonts w:ascii="Times New Roman" w:hAnsi="Times New Roman"/>
          <w:b/>
          <w:bCs/>
          <w:sz w:val="22"/>
          <w:szCs w:val="22"/>
        </w:rPr>
        <w:tab/>
      </w:r>
      <w:r w:rsidRPr="007056CF">
        <w:rPr>
          <w:rFonts w:ascii="Times New Roman" w:hAnsi="Times New Roman"/>
          <w:b/>
          <w:bCs/>
          <w:sz w:val="22"/>
          <w:szCs w:val="22"/>
        </w:rPr>
        <w:t>Health, Safety &amp; Security Rules (Insurance)</w:t>
      </w:r>
    </w:p>
    <w:bookmarkEnd w:id="1"/>
    <w:p w14:paraId="654A365E" w14:textId="67BF7C9D" w:rsidR="007F4794" w:rsidRPr="005A687F" w:rsidRDefault="007F4794" w:rsidP="009314D5">
      <w:pPr>
        <w:pStyle w:val="BlockText"/>
        <w:ind w:right="0"/>
        <w:rPr>
          <w:sz w:val="22"/>
          <w:szCs w:val="22"/>
        </w:rPr>
      </w:pPr>
      <w:r w:rsidRPr="005A687F">
        <w:rPr>
          <w:sz w:val="22"/>
          <w:szCs w:val="22"/>
        </w:rPr>
        <w:t>The Insurance shall cover all the risks of bodily harm or damage to CEM’s property or third parties.  Minimum insurance amount shall be MOP5,000,000.00 for any one accident/number of accidents unlimited.</w:t>
      </w:r>
    </w:p>
    <w:p w14:paraId="37472B01" w14:textId="77777777" w:rsidR="009314D5" w:rsidRPr="007F4794" w:rsidRDefault="009314D5" w:rsidP="009314D5">
      <w:pPr>
        <w:pStyle w:val="BlockText"/>
        <w:ind w:right="0"/>
      </w:pPr>
    </w:p>
    <w:p w14:paraId="34278661" w14:textId="77777777" w:rsidR="007F4794" w:rsidRPr="005A687F" w:rsidRDefault="007F4794" w:rsidP="007F4794">
      <w:pPr>
        <w:pStyle w:val="BlockText"/>
        <w:ind w:right="0"/>
        <w:rPr>
          <w:b/>
          <w:bCs/>
          <w:sz w:val="22"/>
          <w:szCs w:val="22"/>
        </w:rPr>
      </w:pPr>
      <w:r w:rsidRPr="005A687F">
        <w:rPr>
          <w:b/>
          <w:bCs/>
          <w:sz w:val="22"/>
          <w:szCs w:val="22"/>
        </w:rPr>
        <w:t>List of CEM accepted insurers</w:t>
      </w:r>
    </w:p>
    <w:tbl>
      <w:tblPr>
        <w:tblW w:w="0" w:type="auto"/>
        <w:tblInd w:w="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3"/>
      </w:tblGrid>
      <w:tr w:rsidR="007F4794" w:rsidRPr="005A687F" w14:paraId="0226F649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E9641" w14:textId="0131A954" w:rsidR="007F4794" w:rsidRPr="005A687F" w:rsidRDefault="007F4794" w:rsidP="002051FE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AIG Insurance Hong Kong Limited (Macau Branch)</w:t>
            </w:r>
          </w:p>
        </w:tc>
      </w:tr>
      <w:tr w:rsidR="007F4794" w:rsidRPr="005A687F" w14:paraId="747AF670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30A9D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Asia Insurance Company Ltd.</w:t>
            </w:r>
          </w:p>
        </w:tc>
      </w:tr>
      <w:tr w:rsidR="007F4794" w:rsidRPr="005A687F" w14:paraId="2272FD46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D0985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MSIG Insurance (Hong Kong) Ltd.</w:t>
            </w:r>
          </w:p>
        </w:tc>
      </w:tr>
      <w:tr w:rsidR="007F4794" w:rsidRPr="005A687F" w14:paraId="1968B876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B249F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China Taiping Insurance (Macau) Company Limited</w:t>
            </w:r>
          </w:p>
        </w:tc>
      </w:tr>
      <w:tr w:rsidR="007F4794" w:rsidRPr="005A687F" w14:paraId="065ACA21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95265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Luen Fung Hang Insurance Company Ltd.</w:t>
            </w:r>
          </w:p>
        </w:tc>
      </w:tr>
      <w:tr w:rsidR="007F4794" w:rsidRPr="005A687F" w14:paraId="4C58B068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91ADE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Macau Insurance Company Ltd.</w:t>
            </w:r>
          </w:p>
        </w:tc>
      </w:tr>
      <w:tr w:rsidR="007F4794" w:rsidRPr="005A687F" w14:paraId="69797D70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465FE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QBE General Insurance (Hong Kong) Ltd.</w:t>
            </w:r>
          </w:p>
        </w:tc>
      </w:tr>
      <w:tr w:rsidR="007F4794" w:rsidRPr="005A687F" w14:paraId="248AFE68" w14:textId="77777777" w:rsidTr="002051FE">
        <w:trPr>
          <w:trHeight w:val="209"/>
        </w:trPr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E2C6B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Chubb Insurance Macau Limited</w:t>
            </w:r>
          </w:p>
        </w:tc>
      </w:tr>
      <w:tr w:rsidR="007F4794" w:rsidRPr="005A687F" w14:paraId="7B727F43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EA73D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Fidelidade</w:t>
            </w:r>
            <w:proofErr w:type="spellEnd"/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Macau- Insurance Company Limited</w:t>
            </w:r>
          </w:p>
        </w:tc>
      </w:tr>
      <w:tr w:rsidR="007F4794" w:rsidRPr="005A687F" w14:paraId="116BEFC8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91EB5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Berkshire Hathaway Specialty Insurance Company</w:t>
            </w:r>
          </w:p>
        </w:tc>
      </w:tr>
      <w:tr w:rsidR="007F4794" w:rsidRPr="005A687F" w14:paraId="7D6E8B78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A8007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AXA General Insurance Hong Kong Limited</w:t>
            </w:r>
          </w:p>
        </w:tc>
      </w:tr>
      <w:tr w:rsidR="007F4794" w:rsidRPr="005A687F" w14:paraId="5A63C983" w14:textId="77777777" w:rsidTr="002051FE">
        <w:tc>
          <w:tcPr>
            <w:tcW w:w="75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96F69" w14:textId="77777777" w:rsidR="007F4794" w:rsidRPr="005A687F" w:rsidRDefault="007F4794" w:rsidP="007F4794">
            <w:pPr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687F">
              <w:rPr>
                <w:rFonts w:ascii="Times New Roman" w:hAnsi="Times New Roman"/>
                <w:color w:val="000000"/>
                <w:sz w:val="22"/>
                <w:szCs w:val="22"/>
              </w:rPr>
              <w:t>The People’s Insurance Company of China (Hong Kong) Limited (Macau Branch)</w:t>
            </w:r>
          </w:p>
        </w:tc>
      </w:tr>
    </w:tbl>
    <w:p w14:paraId="321A5A4D" w14:textId="77777777" w:rsidR="002A3EC6" w:rsidRPr="007F4794" w:rsidRDefault="002A3EC6" w:rsidP="00677AA9">
      <w:pPr>
        <w:spacing w:after="120"/>
        <w:ind w:right="-3"/>
        <w:jc w:val="both"/>
        <w:rPr>
          <w:rFonts w:ascii="Times New Roman" w:hAnsi="Times New Roman"/>
          <w:b/>
          <w:color w:val="000000"/>
          <w:sz w:val="22"/>
          <w:szCs w:val="22"/>
          <w:lang w:eastAsia="zh-TW"/>
        </w:rPr>
      </w:pPr>
    </w:p>
    <w:p w14:paraId="3806FE6F" w14:textId="77777777" w:rsidR="00677AA9" w:rsidRPr="00E73193" w:rsidRDefault="00677AA9" w:rsidP="00677AA9">
      <w:pPr>
        <w:spacing w:after="120"/>
        <w:ind w:right="-3"/>
        <w:jc w:val="both"/>
        <w:rPr>
          <w:rFonts w:ascii="Times New Roman" w:hAnsi="Times New Roman"/>
          <w:b/>
          <w:color w:val="000000"/>
          <w:sz w:val="22"/>
          <w:szCs w:val="22"/>
          <w:lang w:val="en-GB" w:eastAsia="zh-TW"/>
        </w:rPr>
      </w:pPr>
      <w:r w:rsidRPr="00E73193">
        <w:rPr>
          <w:rFonts w:ascii="Times New Roman" w:hAnsi="Times New Roman"/>
          <w:b/>
          <w:color w:val="000000"/>
          <w:sz w:val="22"/>
          <w:szCs w:val="22"/>
          <w:lang w:val="en-GB" w:eastAsia="zh-TW"/>
        </w:rPr>
        <w:t>Clause 11.2</w:t>
      </w:r>
      <w:r w:rsidRPr="00E73193">
        <w:rPr>
          <w:rFonts w:ascii="Times New Roman" w:hAnsi="Times New Roman"/>
          <w:b/>
          <w:color w:val="000000"/>
          <w:sz w:val="22"/>
          <w:szCs w:val="22"/>
          <w:lang w:val="en-GB" w:eastAsia="zh-TW"/>
        </w:rPr>
        <w:tab/>
      </w:r>
      <w:r w:rsidRPr="00E73193">
        <w:rPr>
          <w:rFonts w:ascii="Times New Roman" w:hAnsi="Times New Roman"/>
          <w:b/>
          <w:color w:val="000000"/>
          <w:spacing w:val="-3"/>
          <w:sz w:val="22"/>
          <w:szCs w:val="22"/>
          <w:lang w:val="en-GB" w:eastAsia="zh-TW"/>
        </w:rPr>
        <w:t xml:space="preserve">Construction Industry </w:t>
      </w:r>
      <w:r w:rsidRPr="00E73193">
        <w:rPr>
          <w:rFonts w:ascii="Times New Roman" w:hAnsi="Times New Roman"/>
          <w:b/>
          <w:color w:val="000000"/>
          <w:sz w:val="22"/>
          <w:szCs w:val="22"/>
          <w:lang w:val="en-GB" w:eastAsia="zh-TW"/>
        </w:rPr>
        <w:t xml:space="preserve">Occupational Safety Cards </w:t>
      </w:r>
    </w:p>
    <w:p w14:paraId="2CC9697A" w14:textId="5BB56ABE" w:rsidR="000F7D42" w:rsidRDefault="00677AA9" w:rsidP="009314D5">
      <w:pPr>
        <w:ind w:left="720" w:right="-3" w:hanging="720"/>
        <w:jc w:val="both"/>
        <w:rPr>
          <w:rFonts w:ascii="Times New Roman" w:hAnsi="Times New Roman"/>
          <w:color w:val="000000"/>
          <w:sz w:val="22"/>
          <w:szCs w:val="22"/>
          <w:lang w:val="en-GB" w:eastAsia="zh-TW"/>
        </w:rPr>
      </w:pPr>
      <w:r w:rsidRPr="00E73193">
        <w:rPr>
          <w:rFonts w:ascii="Times New Roman" w:hAnsi="Times New Roman"/>
          <w:color w:val="000000"/>
          <w:sz w:val="22"/>
          <w:szCs w:val="22"/>
          <w:lang w:val="en-GB" w:eastAsia="zh-TW"/>
        </w:rPr>
        <w:tab/>
        <w:t>Copies of “</w:t>
      </w:r>
      <w:r w:rsidRPr="00E73193">
        <w:rPr>
          <w:rFonts w:ascii="Times New Roman" w:hAnsi="Times New Roman"/>
          <w:b/>
          <w:color w:val="000000"/>
          <w:spacing w:val="-3"/>
          <w:sz w:val="22"/>
          <w:szCs w:val="22"/>
          <w:lang w:val="en-GB" w:eastAsia="zh-TW"/>
        </w:rPr>
        <w:t xml:space="preserve">Construction Industry </w:t>
      </w:r>
      <w:r w:rsidRPr="00E73193">
        <w:rPr>
          <w:rFonts w:ascii="Times New Roman" w:hAnsi="Times New Roman"/>
          <w:b/>
          <w:color w:val="000000"/>
          <w:sz w:val="22"/>
          <w:szCs w:val="22"/>
          <w:lang w:val="en-GB" w:eastAsia="zh-TW"/>
        </w:rPr>
        <w:t>Occupational Safety Cards</w:t>
      </w:r>
      <w:r w:rsidRPr="00E73193">
        <w:rPr>
          <w:rFonts w:ascii="Times New Roman" w:hAnsi="Times New Roman"/>
          <w:color w:val="000000"/>
          <w:sz w:val="22"/>
          <w:szCs w:val="22"/>
          <w:lang w:val="en-GB" w:eastAsia="zh-TW"/>
        </w:rPr>
        <w:t>” issued by DSAL for the involved employees to be allocated for this project shall be submitted to CEM before work commencement on site.</w:t>
      </w:r>
    </w:p>
    <w:p w14:paraId="22C12BF1" w14:textId="77777777" w:rsidR="009314D5" w:rsidRPr="009314D5" w:rsidRDefault="009314D5" w:rsidP="009314D5">
      <w:pPr>
        <w:ind w:left="720" w:right="-3" w:hanging="720"/>
        <w:jc w:val="both"/>
        <w:rPr>
          <w:rFonts w:ascii="Times New Roman" w:hAnsi="Times New Roman"/>
          <w:color w:val="000000"/>
          <w:sz w:val="22"/>
          <w:szCs w:val="22"/>
          <w:lang w:val="en-GB" w:eastAsia="zh-TW"/>
        </w:rPr>
      </w:pPr>
    </w:p>
    <w:p w14:paraId="45E03254" w14:textId="5395B2DF" w:rsidR="004125DB" w:rsidRPr="007056CF" w:rsidRDefault="004125DB" w:rsidP="00966826">
      <w:pPr>
        <w:pStyle w:val="Subtitle"/>
        <w:tabs>
          <w:tab w:val="left" w:pos="709"/>
          <w:tab w:val="left" w:pos="1134"/>
        </w:tabs>
        <w:spacing w:line="240" w:lineRule="auto"/>
        <w:ind w:right="-308"/>
        <w:jc w:val="both"/>
        <w:rPr>
          <w:rFonts w:ascii="Times New Roman" w:hAnsi="Times New Roman"/>
          <w:b/>
          <w:i w:val="0"/>
          <w:sz w:val="22"/>
          <w:szCs w:val="22"/>
        </w:rPr>
      </w:pPr>
      <w:r w:rsidRPr="007056CF">
        <w:rPr>
          <w:rFonts w:ascii="Times New Roman" w:hAnsi="Times New Roman"/>
          <w:b/>
          <w:i w:val="0"/>
          <w:sz w:val="22"/>
          <w:szCs w:val="22"/>
        </w:rPr>
        <w:t>Clause 1</w:t>
      </w:r>
      <w:r w:rsidR="009314D5">
        <w:rPr>
          <w:rFonts w:ascii="Times New Roman" w:hAnsi="Times New Roman"/>
          <w:b/>
          <w:i w:val="0"/>
          <w:sz w:val="22"/>
          <w:szCs w:val="22"/>
        </w:rPr>
        <w:t>4</w:t>
      </w:r>
      <w:r w:rsidRPr="007056CF">
        <w:rPr>
          <w:rFonts w:ascii="Times New Roman" w:hAnsi="Times New Roman"/>
          <w:b/>
          <w:i w:val="0"/>
          <w:sz w:val="22"/>
          <w:szCs w:val="22"/>
        </w:rPr>
        <w:tab/>
        <w:t xml:space="preserve"> </w:t>
      </w:r>
      <w:r w:rsidR="000557C4">
        <w:rPr>
          <w:rFonts w:ascii="Times New Roman" w:hAnsi="Times New Roman"/>
          <w:b/>
          <w:i w:val="0"/>
          <w:sz w:val="22"/>
          <w:szCs w:val="22"/>
        </w:rPr>
        <w:tab/>
      </w:r>
      <w:r w:rsidRPr="007056CF">
        <w:rPr>
          <w:rFonts w:ascii="Times New Roman" w:hAnsi="Times New Roman"/>
          <w:b/>
          <w:i w:val="0"/>
          <w:sz w:val="22"/>
          <w:szCs w:val="22"/>
        </w:rPr>
        <w:t>Prices / Payment</w:t>
      </w:r>
    </w:p>
    <w:p w14:paraId="44F7A585" w14:textId="77777777" w:rsidR="007056CF" w:rsidRPr="007056CF" w:rsidRDefault="007056CF" w:rsidP="007056CF">
      <w:pPr>
        <w:keepNext/>
        <w:keepLines/>
        <w:tabs>
          <w:tab w:val="left" w:pos="709"/>
          <w:tab w:val="left" w:pos="1134"/>
        </w:tabs>
        <w:spacing w:after="120"/>
        <w:jc w:val="both"/>
        <w:rPr>
          <w:rFonts w:ascii="Times New Roman" w:hAnsi="Times New Roman"/>
          <w:b/>
          <w:kern w:val="28"/>
          <w:sz w:val="22"/>
          <w:szCs w:val="22"/>
          <w:lang w:val="en-GB"/>
        </w:rPr>
      </w:pPr>
      <w:r w:rsidRPr="007056CF">
        <w:rPr>
          <w:rFonts w:ascii="Times New Roman" w:hAnsi="Times New Roman"/>
          <w:kern w:val="28"/>
          <w:sz w:val="22"/>
          <w:szCs w:val="22"/>
          <w:u w:val="single"/>
          <w:lang w:val="en-GB"/>
        </w:rPr>
        <w:t>Prices</w:t>
      </w:r>
    </w:p>
    <w:p w14:paraId="6B95B375" w14:textId="77777777" w:rsidR="007056CF" w:rsidRPr="007056CF" w:rsidRDefault="007056CF" w:rsidP="007056CF">
      <w:pPr>
        <w:tabs>
          <w:tab w:val="left" w:pos="-720"/>
          <w:tab w:val="left" w:pos="0"/>
          <w:tab w:val="left" w:pos="709"/>
          <w:tab w:val="left" w:pos="1134"/>
        </w:tabs>
        <w:spacing w:after="120"/>
        <w:ind w:left="720" w:hanging="720"/>
        <w:jc w:val="both"/>
        <w:rPr>
          <w:rFonts w:ascii="Times New Roman" w:hAnsi="Times New Roman"/>
          <w:sz w:val="22"/>
          <w:szCs w:val="22"/>
          <w:lang w:val="en-GB"/>
        </w:rPr>
      </w:pPr>
      <w:r w:rsidRPr="007056CF">
        <w:rPr>
          <w:rFonts w:ascii="Times New Roman" w:hAnsi="Times New Roman"/>
          <w:sz w:val="22"/>
          <w:szCs w:val="22"/>
          <w:lang w:val="en-GB"/>
        </w:rPr>
        <w:tab/>
        <w:t>The prices are as defined in the Contractual Price schedule and confirmed on the Letter of Acceptance.  They are firm prices.</w:t>
      </w:r>
    </w:p>
    <w:p w14:paraId="69128F08" w14:textId="77777777" w:rsidR="007056CF" w:rsidRDefault="007056CF" w:rsidP="007056CF">
      <w:pPr>
        <w:tabs>
          <w:tab w:val="left" w:pos="709"/>
          <w:tab w:val="left" w:pos="1134"/>
        </w:tabs>
        <w:spacing w:after="60"/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7056CF">
        <w:rPr>
          <w:rFonts w:ascii="Times New Roman" w:hAnsi="Times New Roman"/>
          <w:sz w:val="22"/>
          <w:szCs w:val="22"/>
          <w:lang w:val="en-GB"/>
        </w:rPr>
        <w:t>Proposed prices are to be quoted, denominated and paid in any of the following currencies:</w:t>
      </w:r>
    </w:p>
    <w:p w14:paraId="080605BE" w14:textId="5E91BA01" w:rsidR="007056CF" w:rsidRDefault="007056CF" w:rsidP="007056CF">
      <w:pPr>
        <w:numPr>
          <w:ilvl w:val="0"/>
          <w:numId w:val="24"/>
        </w:numPr>
        <w:tabs>
          <w:tab w:val="clear" w:pos="360"/>
          <w:tab w:val="left" w:pos="709"/>
          <w:tab w:val="num" w:pos="1062"/>
          <w:tab w:val="left" w:pos="1134"/>
          <w:tab w:val="num" w:pos="2970"/>
        </w:tabs>
        <w:spacing w:after="60" w:line="360" w:lineRule="auto"/>
        <w:ind w:left="1062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7056CF">
        <w:rPr>
          <w:rFonts w:ascii="Times New Roman" w:hAnsi="Times New Roman"/>
          <w:sz w:val="22"/>
          <w:szCs w:val="22"/>
          <w:lang w:val="en-GB"/>
        </w:rPr>
        <w:t>Patacas</w:t>
      </w:r>
      <w:proofErr w:type="spellEnd"/>
      <w:r w:rsidR="002C03CB">
        <w:rPr>
          <w:rFonts w:ascii="Times New Roman" w:hAnsi="Times New Roman"/>
          <w:sz w:val="22"/>
          <w:szCs w:val="22"/>
          <w:lang w:val="en-GB"/>
        </w:rPr>
        <w:t xml:space="preserve"> (MOP)</w:t>
      </w:r>
    </w:p>
    <w:p w14:paraId="6A1709B6" w14:textId="77777777" w:rsidR="00F17917" w:rsidRPr="00F17917" w:rsidRDefault="00F17917" w:rsidP="007B1864">
      <w:pPr>
        <w:keepNext/>
        <w:keepLines/>
        <w:tabs>
          <w:tab w:val="left" w:pos="709"/>
          <w:tab w:val="left" w:pos="900"/>
        </w:tabs>
        <w:snapToGrid w:val="0"/>
        <w:spacing w:before="120"/>
        <w:ind w:right="-936"/>
        <w:jc w:val="both"/>
        <w:rPr>
          <w:rFonts w:ascii="Times New Roman" w:hAnsi="Times New Roman"/>
          <w:b/>
          <w:bCs/>
          <w:iCs/>
          <w:kern w:val="28"/>
          <w:sz w:val="22"/>
          <w:szCs w:val="22"/>
          <w:u w:val="single"/>
          <w:lang w:val="en-GB" w:eastAsia="zh-TW"/>
        </w:rPr>
      </w:pPr>
      <w:r w:rsidRPr="00F17917">
        <w:rPr>
          <w:rFonts w:ascii="Times New Roman" w:hAnsi="Times New Roman"/>
          <w:b/>
          <w:bCs/>
          <w:iCs/>
          <w:kern w:val="28"/>
          <w:sz w:val="22"/>
          <w:szCs w:val="22"/>
          <w:lang w:val="en-GB" w:eastAsia="zh-TW"/>
        </w:rPr>
        <w:tab/>
      </w:r>
      <w:r w:rsidRPr="00F17917">
        <w:rPr>
          <w:rFonts w:ascii="Times New Roman" w:hAnsi="Times New Roman"/>
          <w:b/>
          <w:bCs/>
          <w:iCs/>
          <w:kern w:val="28"/>
          <w:sz w:val="22"/>
          <w:szCs w:val="22"/>
          <w:u w:val="single"/>
          <w:lang w:val="en-GB" w:eastAsia="zh-TW"/>
        </w:rPr>
        <w:t>Payment</w:t>
      </w:r>
    </w:p>
    <w:p w14:paraId="10DC7418" w14:textId="6FC6FD9B" w:rsidR="00F17917" w:rsidRPr="00F17917" w:rsidRDefault="003E303D" w:rsidP="003E303D">
      <w:pPr>
        <w:numPr>
          <w:ilvl w:val="0"/>
          <w:numId w:val="31"/>
        </w:numPr>
        <w:tabs>
          <w:tab w:val="left" w:pos="990"/>
          <w:tab w:val="left" w:pos="1080"/>
        </w:tabs>
        <w:snapToGrid w:val="0"/>
        <w:spacing w:before="120"/>
        <w:ind w:left="990" w:right="21" w:hanging="270"/>
        <w:jc w:val="both"/>
        <w:rPr>
          <w:rFonts w:ascii="Times New Roman" w:hAnsi="Times New Roman"/>
          <w:color w:val="000000"/>
          <w:sz w:val="22"/>
          <w:lang w:val="en-GB" w:eastAsia="zh-TW"/>
        </w:rPr>
      </w:pPr>
      <w:r w:rsidRPr="003E303D">
        <w:rPr>
          <w:rFonts w:ascii="Times New Roman" w:hAnsi="Times New Roman"/>
          <w:color w:val="000000"/>
          <w:sz w:val="22"/>
          <w:szCs w:val="22"/>
          <w:lang w:val="en-GB" w:eastAsia="zh-TW"/>
        </w:rPr>
        <w:t>After the completion of each service order, the Contractor shall invoice per service, in accordance</w:t>
      </w:r>
      <w:r>
        <w:rPr>
          <w:rFonts w:ascii="Times New Roman" w:hAnsi="Times New Roman" w:hint="eastAsia"/>
          <w:color w:val="000000"/>
          <w:sz w:val="22"/>
          <w:szCs w:val="22"/>
          <w:lang w:val="en-GB" w:eastAsia="zh-TW"/>
        </w:rPr>
        <w:t xml:space="preserve"> </w:t>
      </w:r>
      <w:r w:rsidRPr="003E303D">
        <w:rPr>
          <w:rFonts w:ascii="Times New Roman" w:hAnsi="Times New Roman"/>
          <w:color w:val="000000"/>
          <w:sz w:val="22"/>
          <w:szCs w:val="22"/>
          <w:lang w:val="en-GB" w:eastAsia="zh-TW"/>
        </w:rPr>
        <w:t>with the prices shown in the “Schedule of Rates”</w:t>
      </w:r>
      <w:r w:rsidR="00F17917" w:rsidRPr="00F17917">
        <w:rPr>
          <w:rFonts w:ascii="Times New Roman" w:hAnsi="Times New Roman"/>
          <w:color w:val="000000"/>
          <w:sz w:val="22"/>
          <w:lang w:val="en-GB" w:eastAsia="zh-TW"/>
        </w:rPr>
        <w:t>.</w:t>
      </w:r>
    </w:p>
    <w:p w14:paraId="68C34026" w14:textId="77777777" w:rsidR="00F17917" w:rsidRDefault="00F17917" w:rsidP="00A0611B">
      <w:pPr>
        <w:tabs>
          <w:tab w:val="left" w:pos="990"/>
          <w:tab w:val="left" w:pos="1080"/>
        </w:tabs>
        <w:snapToGrid w:val="0"/>
        <w:ind w:left="900" w:right="-939" w:hanging="540"/>
        <w:jc w:val="both"/>
        <w:rPr>
          <w:rFonts w:ascii="Times New Roman" w:hAnsi="Times New Roman"/>
          <w:spacing w:val="-3"/>
          <w:sz w:val="22"/>
          <w:szCs w:val="22"/>
          <w:lang w:val="en-GB" w:eastAsia="zh-TW"/>
        </w:rPr>
      </w:pPr>
    </w:p>
    <w:p w14:paraId="2580E56C" w14:textId="57749F36" w:rsidR="00F17917" w:rsidRPr="00F17917" w:rsidRDefault="003E303D" w:rsidP="00A0611B">
      <w:pPr>
        <w:tabs>
          <w:tab w:val="left" w:pos="990"/>
          <w:tab w:val="left" w:pos="1080"/>
        </w:tabs>
        <w:snapToGrid w:val="0"/>
        <w:ind w:left="720" w:right="21"/>
        <w:jc w:val="both"/>
        <w:rPr>
          <w:rFonts w:ascii="Times New Roman" w:hAnsi="Times New Roman"/>
          <w:sz w:val="22"/>
          <w:szCs w:val="22"/>
          <w:lang w:val="en-GB" w:eastAsia="zh-TW"/>
        </w:rPr>
      </w:pPr>
      <w:r>
        <w:rPr>
          <w:rFonts w:ascii="Times New Roman" w:hAnsi="Times New Roman" w:hint="eastAsia"/>
          <w:spacing w:val="-3"/>
          <w:sz w:val="22"/>
          <w:szCs w:val="22"/>
          <w:lang w:val="en-GB" w:eastAsia="zh-TW"/>
        </w:rPr>
        <w:t>A</w:t>
      </w:r>
      <w:r w:rsidRPr="003E303D">
        <w:rPr>
          <w:rFonts w:ascii="Times New Roman" w:hAnsi="Times New Roman"/>
          <w:spacing w:val="-3"/>
          <w:sz w:val="22"/>
          <w:szCs w:val="22"/>
          <w:lang w:val="en-GB" w:eastAsia="zh-TW"/>
        </w:rPr>
        <w:t>ll payments should be settled upon approval of the service by CEM, to be paid within 45 days from the date of the respective invoices</w:t>
      </w:r>
      <w:r>
        <w:rPr>
          <w:rFonts w:ascii="Times New Roman" w:hAnsi="Times New Roman" w:hint="eastAsia"/>
          <w:spacing w:val="-3"/>
          <w:sz w:val="22"/>
          <w:szCs w:val="22"/>
          <w:lang w:val="en-GB" w:eastAsia="zh-TW"/>
        </w:rPr>
        <w:t>.</w:t>
      </w:r>
    </w:p>
    <w:p w14:paraId="5CEE1E20" w14:textId="77777777" w:rsidR="007056CF" w:rsidRDefault="007056CF" w:rsidP="007056CF">
      <w:pPr>
        <w:tabs>
          <w:tab w:val="left" w:pos="990"/>
          <w:tab w:val="left" w:pos="1134"/>
          <w:tab w:val="left" w:pos="1710"/>
        </w:tabs>
        <w:ind w:left="360" w:right="835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1CA0620" w14:textId="77777777" w:rsidR="00332006" w:rsidRPr="00332006" w:rsidRDefault="00332006" w:rsidP="00332006">
      <w:pPr>
        <w:tabs>
          <w:tab w:val="left" w:pos="810"/>
          <w:tab w:val="left" w:pos="1260"/>
        </w:tabs>
        <w:spacing w:before="120"/>
        <w:ind w:left="720" w:right="21"/>
        <w:jc w:val="both"/>
        <w:rPr>
          <w:rFonts w:ascii="Times New Roman" w:eastAsia="@System" w:hAnsi="Times New Roman"/>
          <w:sz w:val="22"/>
        </w:rPr>
      </w:pPr>
      <w:r w:rsidRPr="00332006">
        <w:rPr>
          <w:rFonts w:ascii="Times New Roman" w:eastAsia="@System" w:hAnsi="Times New Roman"/>
          <w:sz w:val="22"/>
        </w:rPr>
        <w:t>A copy of the Declaration Form and the latest Taxation Document (M/1, M/8) should be presented to CEM before any payment will be effected.  For newly established company, only the Form “M/1” (duly approved and stamped by the “</w:t>
      </w:r>
      <w:proofErr w:type="spellStart"/>
      <w:r w:rsidRPr="00332006">
        <w:rPr>
          <w:rFonts w:ascii="Times New Roman" w:eastAsia="@System" w:hAnsi="Times New Roman"/>
          <w:sz w:val="22"/>
        </w:rPr>
        <w:t>Direcção</w:t>
      </w:r>
      <w:proofErr w:type="spellEnd"/>
      <w:r w:rsidRPr="00332006">
        <w:rPr>
          <w:rFonts w:ascii="Times New Roman" w:eastAsia="@System" w:hAnsi="Times New Roman"/>
          <w:sz w:val="22"/>
        </w:rPr>
        <w:t xml:space="preserve"> dos Serviços de </w:t>
      </w:r>
      <w:proofErr w:type="spellStart"/>
      <w:r w:rsidRPr="00332006">
        <w:rPr>
          <w:rFonts w:ascii="Times New Roman" w:eastAsia="@System" w:hAnsi="Times New Roman"/>
          <w:sz w:val="22"/>
        </w:rPr>
        <w:t>Finanças</w:t>
      </w:r>
      <w:proofErr w:type="spellEnd"/>
      <w:r w:rsidRPr="00332006">
        <w:rPr>
          <w:rFonts w:ascii="Times New Roman" w:eastAsia="@System" w:hAnsi="Times New Roman"/>
          <w:sz w:val="22"/>
        </w:rPr>
        <w:t>”) should be presented in the 1st year and the Form “M/8” (issued by the “</w:t>
      </w:r>
      <w:proofErr w:type="spellStart"/>
      <w:r w:rsidRPr="00332006">
        <w:rPr>
          <w:rFonts w:ascii="Times New Roman" w:eastAsia="@System" w:hAnsi="Times New Roman"/>
          <w:sz w:val="22"/>
        </w:rPr>
        <w:t>Direcção</w:t>
      </w:r>
      <w:proofErr w:type="spellEnd"/>
      <w:r w:rsidRPr="00332006">
        <w:rPr>
          <w:rFonts w:ascii="Times New Roman" w:eastAsia="@System" w:hAnsi="Times New Roman"/>
          <w:sz w:val="22"/>
        </w:rPr>
        <w:t xml:space="preserve"> dos Serviços de </w:t>
      </w:r>
      <w:proofErr w:type="spellStart"/>
      <w:r w:rsidRPr="00332006">
        <w:rPr>
          <w:rFonts w:ascii="Times New Roman" w:eastAsia="@System" w:hAnsi="Times New Roman"/>
          <w:sz w:val="22"/>
        </w:rPr>
        <w:t>Finanças</w:t>
      </w:r>
      <w:proofErr w:type="spellEnd"/>
      <w:r w:rsidRPr="00332006">
        <w:rPr>
          <w:rFonts w:ascii="Times New Roman" w:eastAsia="@System" w:hAnsi="Times New Roman"/>
          <w:sz w:val="22"/>
        </w:rPr>
        <w:t>”) should be presented in the subsequent year.</w:t>
      </w:r>
    </w:p>
    <w:p w14:paraId="6E59FC4C" w14:textId="77777777" w:rsidR="00332006" w:rsidRPr="00332006" w:rsidRDefault="00332006" w:rsidP="00332006">
      <w:pPr>
        <w:tabs>
          <w:tab w:val="left" w:pos="1260"/>
        </w:tabs>
        <w:spacing w:before="120" w:after="120"/>
        <w:ind w:left="720" w:right="21"/>
        <w:jc w:val="both"/>
        <w:rPr>
          <w:rFonts w:ascii="Times New Roman" w:eastAsia="@System" w:hAnsi="Times New Roman"/>
          <w:b/>
          <w:sz w:val="22"/>
          <w:u w:val="single"/>
        </w:rPr>
      </w:pPr>
    </w:p>
    <w:p w14:paraId="0D30E76C" w14:textId="77777777" w:rsidR="00332006" w:rsidRPr="00332006" w:rsidRDefault="00332006" w:rsidP="00C06305">
      <w:pPr>
        <w:tabs>
          <w:tab w:val="left" w:pos="1260"/>
        </w:tabs>
        <w:spacing w:after="120"/>
        <w:ind w:left="720" w:right="21"/>
        <w:jc w:val="both"/>
        <w:rPr>
          <w:rFonts w:ascii="Times New Roman" w:eastAsia="@System" w:hAnsi="Times New Roman"/>
          <w:b/>
          <w:sz w:val="22"/>
          <w:u w:val="single"/>
        </w:rPr>
      </w:pPr>
      <w:r w:rsidRPr="00332006">
        <w:rPr>
          <w:rFonts w:ascii="Times New Roman" w:eastAsia="@System" w:hAnsi="Times New Roman"/>
          <w:b/>
          <w:sz w:val="22"/>
          <w:u w:val="single"/>
        </w:rPr>
        <w:t xml:space="preserve">Important Note </w:t>
      </w:r>
    </w:p>
    <w:p w14:paraId="282ADECC" w14:textId="77777777" w:rsidR="00332006" w:rsidRPr="00332006" w:rsidRDefault="00332006" w:rsidP="00332006">
      <w:pPr>
        <w:tabs>
          <w:tab w:val="left" w:pos="1260"/>
        </w:tabs>
        <w:spacing w:before="120" w:after="120"/>
        <w:ind w:left="720" w:right="21"/>
        <w:jc w:val="both"/>
        <w:rPr>
          <w:rFonts w:ascii="Times New Roman" w:eastAsia="@System" w:hAnsi="Times New Roman"/>
          <w:bCs/>
          <w:sz w:val="22"/>
        </w:rPr>
      </w:pPr>
      <w:r w:rsidRPr="00332006">
        <w:rPr>
          <w:rFonts w:ascii="Times New Roman" w:eastAsia="@System" w:hAnsi="Times New Roman"/>
          <w:bCs/>
          <w:sz w:val="22"/>
        </w:rPr>
        <w:t xml:space="preserve">Based on the Macau Law 1/89M which was printed on "Boletim </w:t>
      </w:r>
      <w:proofErr w:type="spellStart"/>
      <w:r w:rsidRPr="00332006">
        <w:rPr>
          <w:rFonts w:ascii="Times New Roman" w:eastAsia="@System" w:hAnsi="Times New Roman"/>
          <w:bCs/>
          <w:sz w:val="22"/>
        </w:rPr>
        <w:t>Oficial</w:t>
      </w:r>
      <w:proofErr w:type="spellEnd"/>
      <w:r w:rsidRPr="00332006">
        <w:rPr>
          <w:rFonts w:ascii="Times New Roman" w:eastAsia="@System" w:hAnsi="Times New Roman"/>
          <w:bCs/>
          <w:sz w:val="22"/>
        </w:rPr>
        <w:t xml:space="preserve">" no. 16, 17 Abril/89, those overseas Contractors without branch office in Macau are required to perform a Commercial Registration (submission of M/1 Declaration Form) at </w:t>
      </w:r>
      <w:proofErr w:type="spellStart"/>
      <w:r w:rsidRPr="00332006">
        <w:rPr>
          <w:rFonts w:ascii="Times New Roman" w:eastAsia="@System" w:hAnsi="Times New Roman"/>
          <w:bCs/>
          <w:sz w:val="22"/>
        </w:rPr>
        <w:t>Repartição</w:t>
      </w:r>
      <w:proofErr w:type="spellEnd"/>
      <w:r w:rsidRPr="00332006">
        <w:rPr>
          <w:rFonts w:ascii="Times New Roman" w:eastAsia="@System" w:hAnsi="Times New Roman"/>
          <w:bCs/>
          <w:sz w:val="22"/>
        </w:rPr>
        <w:t xml:space="preserve"> de </w:t>
      </w:r>
      <w:proofErr w:type="spellStart"/>
      <w:r w:rsidRPr="00332006">
        <w:rPr>
          <w:rFonts w:ascii="Times New Roman" w:eastAsia="@System" w:hAnsi="Times New Roman"/>
          <w:bCs/>
          <w:sz w:val="22"/>
        </w:rPr>
        <w:t>Finanças</w:t>
      </w:r>
      <w:proofErr w:type="spellEnd"/>
      <w:r w:rsidRPr="00332006">
        <w:rPr>
          <w:rFonts w:ascii="Times New Roman" w:eastAsia="@System" w:hAnsi="Times New Roman"/>
          <w:bCs/>
          <w:sz w:val="22"/>
        </w:rPr>
        <w:t xml:space="preserve"> of </w:t>
      </w:r>
      <w:proofErr w:type="spellStart"/>
      <w:r w:rsidRPr="00332006">
        <w:rPr>
          <w:rFonts w:ascii="Times New Roman" w:eastAsia="@System" w:hAnsi="Times New Roman"/>
          <w:bCs/>
          <w:sz w:val="22"/>
        </w:rPr>
        <w:t>Direcção</w:t>
      </w:r>
      <w:proofErr w:type="spellEnd"/>
      <w:r w:rsidRPr="00332006">
        <w:rPr>
          <w:rFonts w:ascii="Times New Roman" w:eastAsia="@System" w:hAnsi="Times New Roman"/>
          <w:bCs/>
          <w:sz w:val="22"/>
        </w:rPr>
        <w:t xml:space="preserve"> dos Serviços de </w:t>
      </w:r>
      <w:proofErr w:type="spellStart"/>
      <w:r w:rsidRPr="00332006">
        <w:rPr>
          <w:rFonts w:ascii="Times New Roman" w:eastAsia="@System" w:hAnsi="Times New Roman"/>
          <w:bCs/>
          <w:sz w:val="22"/>
        </w:rPr>
        <w:t>Finanças</w:t>
      </w:r>
      <w:proofErr w:type="spellEnd"/>
      <w:r w:rsidRPr="00332006">
        <w:rPr>
          <w:rFonts w:ascii="Times New Roman" w:eastAsia="@System" w:hAnsi="Times New Roman"/>
          <w:bCs/>
          <w:sz w:val="22"/>
        </w:rPr>
        <w:t xml:space="preserve"> (Finance Bureau of Macau).</w:t>
      </w:r>
    </w:p>
    <w:p w14:paraId="0FB1F34E" w14:textId="77777777" w:rsidR="00332006" w:rsidRPr="00332006" w:rsidRDefault="00332006" w:rsidP="00332006">
      <w:pPr>
        <w:spacing w:beforeLines="30" w:before="72" w:afterLines="30" w:after="72" w:line="276" w:lineRule="auto"/>
        <w:ind w:left="720" w:right="21"/>
        <w:jc w:val="both"/>
        <w:rPr>
          <w:rFonts w:ascii="Times New Roman" w:eastAsia="DengXian" w:hAnsi="Times New Roman"/>
          <w:sz w:val="22"/>
          <w:szCs w:val="22"/>
          <w:lang w:eastAsia="zh-TW"/>
        </w:rPr>
      </w:pPr>
      <w:r w:rsidRPr="00332006">
        <w:rPr>
          <w:rFonts w:ascii="Times New Roman" w:eastAsia="DengXian" w:hAnsi="Times New Roman"/>
          <w:sz w:val="22"/>
          <w:szCs w:val="22"/>
          <w:lang w:eastAsia="zh-TW"/>
        </w:rPr>
        <w:t xml:space="preserve">The M1 application is a legal procedure which is by-law and must be done by the company itself.  </w:t>
      </w:r>
    </w:p>
    <w:p w14:paraId="38CFBDD8" w14:textId="77777777" w:rsidR="00332006" w:rsidRPr="00332006" w:rsidRDefault="00332006" w:rsidP="00332006">
      <w:pPr>
        <w:spacing w:beforeLines="30" w:before="72" w:afterLines="30" w:after="72" w:line="276" w:lineRule="auto"/>
        <w:ind w:left="720" w:right="21"/>
        <w:jc w:val="both"/>
        <w:rPr>
          <w:rFonts w:ascii="Times New Roman" w:eastAsia="DengXian" w:hAnsi="Times New Roman"/>
          <w:sz w:val="22"/>
          <w:szCs w:val="22"/>
          <w:lang w:eastAsia="zh-TW"/>
        </w:rPr>
      </w:pPr>
      <w:r w:rsidRPr="00332006">
        <w:rPr>
          <w:rFonts w:ascii="Times New Roman" w:eastAsia="DengXian" w:hAnsi="Times New Roman"/>
          <w:sz w:val="22"/>
          <w:szCs w:val="22"/>
          <w:lang w:eastAsia="zh-TW"/>
        </w:rPr>
        <w:t xml:space="preserve">For more details on the taxation legislation of the Macau SAR, please refer to the related government website by this link: </w:t>
      </w:r>
      <w:hyperlink r:id="rId9" w:history="1">
        <w:r w:rsidRPr="00332006">
          <w:rPr>
            <w:rStyle w:val="Hyperlink"/>
            <w:rFonts w:ascii="Times New Roman" w:eastAsia="DengXian" w:hAnsi="Times New Roman"/>
            <w:sz w:val="22"/>
            <w:szCs w:val="22"/>
            <w:lang w:eastAsia="zh-TW"/>
          </w:rPr>
          <w:t>http://www.dsf.gov.mo/</w:t>
        </w:r>
      </w:hyperlink>
      <w:r w:rsidRPr="00332006">
        <w:rPr>
          <w:rFonts w:ascii="Times New Roman" w:eastAsia="DengXian" w:hAnsi="Times New Roman"/>
          <w:sz w:val="22"/>
          <w:szCs w:val="22"/>
          <w:lang w:eastAsia="zh-TW"/>
        </w:rPr>
        <w:t xml:space="preserve"> and the "Frequently Questions and Answers" area </w:t>
      </w:r>
      <w:hyperlink r:id="rId10" w:history="1">
        <w:r w:rsidRPr="00332006">
          <w:rPr>
            <w:rStyle w:val="Hyperlink"/>
            <w:rFonts w:ascii="Times New Roman" w:eastAsia="DengXian" w:hAnsi="Times New Roman"/>
            <w:sz w:val="22"/>
            <w:szCs w:val="22"/>
            <w:lang w:eastAsia="zh-TW"/>
          </w:rPr>
          <w:t>http://www.dsf.gov.mo/tax/tax_faq.aspx</w:t>
        </w:r>
      </w:hyperlink>
      <w:r w:rsidRPr="00332006">
        <w:rPr>
          <w:rFonts w:ascii="Times New Roman" w:eastAsia="DengXian" w:hAnsi="Times New Roman"/>
          <w:sz w:val="22"/>
          <w:szCs w:val="22"/>
          <w:lang w:eastAsia="zh-TW"/>
        </w:rPr>
        <w:t xml:space="preserve"> in their website.</w:t>
      </w:r>
    </w:p>
    <w:p w14:paraId="14B2DE63" w14:textId="77777777" w:rsidR="00332006" w:rsidRDefault="00332006" w:rsidP="00332006">
      <w:pPr>
        <w:tabs>
          <w:tab w:val="left" w:pos="1260"/>
        </w:tabs>
        <w:spacing w:before="120" w:after="120"/>
        <w:ind w:left="720" w:right="21"/>
        <w:jc w:val="both"/>
        <w:rPr>
          <w:rFonts w:ascii="Times New Roman" w:hAnsi="Times New Roman"/>
          <w:sz w:val="22"/>
          <w:szCs w:val="22"/>
          <w:lang w:eastAsia="zh-TW"/>
        </w:rPr>
      </w:pPr>
      <w:r w:rsidRPr="00332006">
        <w:rPr>
          <w:rFonts w:ascii="Times New Roman" w:eastAsia="DengXian" w:hAnsi="Times New Roman"/>
          <w:sz w:val="22"/>
          <w:szCs w:val="22"/>
          <w:lang w:eastAsia="zh-TW"/>
        </w:rPr>
        <w:lastRenderedPageBreak/>
        <w:t>For newly established company, only the Form “M/1” (duly approved and stamped by the “</w:t>
      </w:r>
      <w:proofErr w:type="spellStart"/>
      <w:r w:rsidRPr="00332006">
        <w:rPr>
          <w:rFonts w:ascii="Times New Roman" w:eastAsia="DengXian" w:hAnsi="Times New Roman"/>
          <w:sz w:val="22"/>
          <w:szCs w:val="22"/>
          <w:lang w:eastAsia="zh-TW"/>
        </w:rPr>
        <w:t>Direcção</w:t>
      </w:r>
      <w:proofErr w:type="spellEnd"/>
      <w:r w:rsidRPr="00332006">
        <w:rPr>
          <w:rFonts w:ascii="Times New Roman" w:eastAsia="DengXian" w:hAnsi="Times New Roman"/>
          <w:sz w:val="22"/>
          <w:szCs w:val="22"/>
          <w:lang w:eastAsia="zh-TW"/>
        </w:rPr>
        <w:t xml:space="preserve"> dos Serviços de </w:t>
      </w:r>
      <w:proofErr w:type="spellStart"/>
      <w:r w:rsidRPr="00332006">
        <w:rPr>
          <w:rFonts w:ascii="Times New Roman" w:eastAsia="DengXian" w:hAnsi="Times New Roman"/>
          <w:sz w:val="22"/>
          <w:szCs w:val="22"/>
          <w:lang w:eastAsia="zh-TW"/>
        </w:rPr>
        <w:t>Finanças</w:t>
      </w:r>
      <w:proofErr w:type="spellEnd"/>
      <w:r w:rsidRPr="00332006">
        <w:rPr>
          <w:rFonts w:ascii="Times New Roman" w:eastAsia="DengXian" w:hAnsi="Times New Roman"/>
          <w:sz w:val="22"/>
          <w:szCs w:val="22"/>
          <w:lang w:eastAsia="zh-TW"/>
        </w:rPr>
        <w:t>”) should be presented in the 1st year and the Form “M/8” (issued by the “</w:t>
      </w:r>
      <w:proofErr w:type="spellStart"/>
      <w:r w:rsidRPr="00332006">
        <w:rPr>
          <w:rFonts w:ascii="Times New Roman" w:eastAsia="DengXian" w:hAnsi="Times New Roman"/>
          <w:sz w:val="22"/>
          <w:szCs w:val="22"/>
          <w:lang w:eastAsia="zh-TW"/>
        </w:rPr>
        <w:t>Direcção</w:t>
      </w:r>
      <w:proofErr w:type="spellEnd"/>
      <w:r w:rsidRPr="00332006">
        <w:rPr>
          <w:rFonts w:ascii="Times New Roman" w:eastAsia="DengXian" w:hAnsi="Times New Roman"/>
          <w:sz w:val="22"/>
          <w:szCs w:val="22"/>
          <w:lang w:eastAsia="zh-TW"/>
        </w:rPr>
        <w:t xml:space="preserve"> dos Serviços de </w:t>
      </w:r>
      <w:proofErr w:type="spellStart"/>
      <w:r w:rsidRPr="00332006">
        <w:rPr>
          <w:rFonts w:ascii="Times New Roman" w:eastAsia="DengXian" w:hAnsi="Times New Roman"/>
          <w:sz w:val="22"/>
          <w:szCs w:val="22"/>
          <w:lang w:eastAsia="zh-TW"/>
        </w:rPr>
        <w:t>Finanças</w:t>
      </w:r>
      <w:proofErr w:type="spellEnd"/>
      <w:r w:rsidRPr="00332006">
        <w:rPr>
          <w:rFonts w:ascii="Times New Roman" w:eastAsia="DengXian" w:hAnsi="Times New Roman"/>
          <w:sz w:val="22"/>
          <w:szCs w:val="22"/>
          <w:lang w:eastAsia="zh-TW"/>
        </w:rPr>
        <w:t>”) should be presented in the subsequent year.</w:t>
      </w:r>
    </w:p>
    <w:p w14:paraId="3E94E961" w14:textId="77777777" w:rsidR="00332006" w:rsidRPr="00332006" w:rsidRDefault="00332006" w:rsidP="007056CF">
      <w:pPr>
        <w:tabs>
          <w:tab w:val="left" w:pos="990"/>
          <w:tab w:val="left" w:pos="1134"/>
          <w:tab w:val="left" w:pos="1710"/>
        </w:tabs>
        <w:ind w:left="360" w:right="835"/>
        <w:jc w:val="both"/>
        <w:rPr>
          <w:rFonts w:ascii="Times New Roman" w:hAnsi="Times New Roman"/>
          <w:sz w:val="22"/>
          <w:szCs w:val="22"/>
        </w:rPr>
      </w:pPr>
    </w:p>
    <w:p w14:paraId="36068CD0" w14:textId="2362C1C5" w:rsidR="000266B1" w:rsidRPr="00074623" w:rsidRDefault="00074623" w:rsidP="000266B1">
      <w:pPr>
        <w:ind w:left="1440" w:hanging="1440"/>
        <w:jc w:val="both"/>
        <w:rPr>
          <w:rFonts w:ascii="Times New Roman" w:hAnsi="Times New Roman"/>
          <w:b/>
          <w:sz w:val="22"/>
          <w:lang w:eastAsia="zh-TW"/>
        </w:rPr>
      </w:pPr>
      <w:r>
        <w:rPr>
          <w:rFonts w:ascii="Times New Roman" w:hAnsi="Times New Roman" w:hint="eastAsia"/>
          <w:b/>
          <w:sz w:val="22"/>
          <w:lang w:eastAsia="zh-TW"/>
        </w:rPr>
        <w:t>Defects Liability Period</w:t>
      </w:r>
    </w:p>
    <w:p w14:paraId="75C7C621" w14:textId="1EB07331" w:rsidR="00074623" w:rsidRDefault="00074623" w:rsidP="000266B1">
      <w:pPr>
        <w:spacing w:before="120"/>
        <w:ind w:left="720"/>
        <w:jc w:val="both"/>
        <w:rPr>
          <w:rFonts w:ascii="Times New Roman" w:hAnsi="Times New Roman"/>
          <w:sz w:val="22"/>
          <w:lang w:val="en-GB" w:eastAsia="zh-TW"/>
        </w:rPr>
      </w:pPr>
      <w:r w:rsidRPr="00074623">
        <w:rPr>
          <w:rFonts w:ascii="Times New Roman" w:hAnsi="Times New Roman"/>
          <w:b/>
          <w:bCs/>
          <w:sz w:val="22"/>
          <w:u w:val="single"/>
          <w:lang w:val="en-GB" w:eastAsia="zh-TW"/>
        </w:rPr>
        <w:t>12 months</w:t>
      </w:r>
      <w:r w:rsidRPr="00074623">
        <w:rPr>
          <w:rFonts w:ascii="Times New Roman" w:hAnsi="Times New Roman"/>
          <w:sz w:val="22"/>
          <w:lang w:val="en-GB" w:eastAsia="zh-TW"/>
        </w:rPr>
        <w:t xml:space="preserve"> from date of the taking over of each service work</w:t>
      </w:r>
      <w:r>
        <w:rPr>
          <w:rFonts w:ascii="Times New Roman" w:hAnsi="Times New Roman" w:hint="eastAsia"/>
          <w:sz w:val="22"/>
          <w:lang w:val="en-GB" w:eastAsia="zh-TW"/>
        </w:rPr>
        <w:t>.</w:t>
      </w:r>
    </w:p>
    <w:p w14:paraId="37AB5A57" w14:textId="77777777" w:rsidR="004125DB" w:rsidRPr="00B5275E" w:rsidRDefault="004125DB" w:rsidP="004125DB">
      <w:pPr>
        <w:ind w:left="1440" w:hanging="1440"/>
        <w:jc w:val="both"/>
        <w:rPr>
          <w:rFonts w:ascii="Times New Roman" w:hAnsi="Times New Roman"/>
          <w:b/>
          <w:spacing w:val="-3"/>
          <w:sz w:val="22"/>
          <w:szCs w:val="22"/>
        </w:rPr>
      </w:pPr>
    </w:p>
    <w:p w14:paraId="43B59093" w14:textId="77777777" w:rsidR="00E14584" w:rsidRPr="007056CF" w:rsidRDefault="00E14584">
      <w:pPr>
        <w:pStyle w:val="BodyTextIndent"/>
        <w:tabs>
          <w:tab w:val="clear" w:pos="-1872"/>
          <w:tab w:val="clear" w:pos="-1152"/>
          <w:tab w:val="clear" w:pos="709"/>
          <w:tab w:val="clear" w:pos="1418"/>
        </w:tabs>
        <w:spacing w:line="180" w:lineRule="exact"/>
        <w:ind w:left="851" w:right="-164"/>
        <w:rPr>
          <w:sz w:val="22"/>
          <w:szCs w:val="22"/>
          <w:lang w:val="en-GB"/>
        </w:rPr>
      </w:pPr>
    </w:p>
    <w:p w14:paraId="2778307E" w14:textId="77777777" w:rsidR="00E14584" w:rsidRPr="007056CF" w:rsidRDefault="00E14584">
      <w:pPr>
        <w:pStyle w:val="Heading1"/>
        <w:tabs>
          <w:tab w:val="left" w:pos="-1872"/>
          <w:tab w:val="left" w:pos="-1152"/>
          <w:tab w:val="left" w:pos="-568"/>
          <w:tab w:val="left" w:pos="709"/>
          <w:tab w:val="left" w:pos="1418"/>
        </w:tabs>
        <w:rPr>
          <w:sz w:val="22"/>
          <w:szCs w:val="22"/>
        </w:rPr>
      </w:pPr>
      <w:r w:rsidRPr="007056CF">
        <w:rPr>
          <w:bCs/>
          <w:sz w:val="22"/>
          <w:szCs w:val="22"/>
        </w:rPr>
        <w:t>Incident/Accident Report</w:t>
      </w:r>
    </w:p>
    <w:p w14:paraId="4C619843" w14:textId="4C673D4E" w:rsidR="00677AA9" w:rsidRPr="009314D5" w:rsidRDefault="00E14584" w:rsidP="00C06305">
      <w:pPr>
        <w:pStyle w:val="BodyTextIndent3"/>
        <w:rPr>
          <w:sz w:val="22"/>
          <w:szCs w:val="22"/>
        </w:rPr>
      </w:pPr>
      <w:r w:rsidRPr="007056CF">
        <w:rPr>
          <w:sz w:val="22"/>
          <w:szCs w:val="22"/>
        </w:rPr>
        <w:t>For any case of incident/accident, the Contractor shall summit the report within 2 working days</w:t>
      </w:r>
    </w:p>
    <w:sectPr w:rsidR="00677AA9" w:rsidRPr="009314D5" w:rsidSect="002051FE">
      <w:headerReference w:type="even" r:id="rId11"/>
      <w:headerReference w:type="default" r:id="rId12"/>
      <w:footerReference w:type="even" r:id="rId13"/>
      <w:footerReference w:type="default" r:id="rId14"/>
      <w:pgSz w:w="11913" w:h="16834" w:code="9"/>
      <w:pgMar w:top="1987" w:right="1848" w:bottom="990" w:left="1584" w:header="446" w:footer="720" w:gutter="0"/>
      <w:paperSrc w:first="4" w:other="4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D7487" w14:textId="77777777" w:rsidR="002B48A6" w:rsidRDefault="002B48A6">
      <w:r>
        <w:separator/>
      </w:r>
    </w:p>
  </w:endnote>
  <w:endnote w:type="continuationSeparator" w:id="0">
    <w:p w14:paraId="17FBEBEB" w14:textId="77777777" w:rsidR="002B48A6" w:rsidRDefault="002B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@System">
    <w:altName w:val="@Microsoft JhengHei"/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D3D7D" w14:textId="58862511" w:rsidR="004125DB" w:rsidRDefault="004125DB">
    <w:pPr>
      <w:pStyle w:val="Footer"/>
      <w:jc w:val="center"/>
      <w:rPr>
        <w:rFonts w:ascii="Times New Roman" w:hAnsi="Times New Roman"/>
        <w:lang w:eastAsia="zh-TW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021CDF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/</w:t>
    </w:r>
    <w:r w:rsidR="003E303D">
      <w:rPr>
        <w:rFonts w:ascii="Times New Roman" w:hAnsi="Times New Roman" w:hint="eastAsia"/>
        <w:lang w:eastAsia="zh-TW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B783" w14:textId="5CC8D982" w:rsidR="004125DB" w:rsidRPr="000F7D42" w:rsidRDefault="004125DB">
    <w:pPr>
      <w:pStyle w:val="Footer"/>
      <w:jc w:val="center"/>
      <w:rPr>
        <w:rFonts w:ascii="Times New Roman" w:hAnsi="Times New Roman"/>
        <w:sz w:val="18"/>
        <w:lang w:eastAsia="zh-TW"/>
      </w:rPr>
    </w:pPr>
    <w:r w:rsidRPr="000F7D42">
      <w:rPr>
        <w:rFonts w:ascii="Times New Roman" w:hAnsi="Times New Roman"/>
        <w:sz w:val="18"/>
      </w:rPr>
      <w:fldChar w:fldCharType="begin"/>
    </w:r>
    <w:r w:rsidRPr="000F7D42">
      <w:rPr>
        <w:rFonts w:ascii="Times New Roman" w:hAnsi="Times New Roman"/>
        <w:sz w:val="18"/>
      </w:rPr>
      <w:instrText>PAGE</w:instrText>
    </w:r>
    <w:r w:rsidRPr="000F7D42">
      <w:rPr>
        <w:rFonts w:ascii="Times New Roman" w:hAnsi="Times New Roman"/>
        <w:sz w:val="18"/>
      </w:rPr>
      <w:fldChar w:fldCharType="separate"/>
    </w:r>
    <w:r w:rsidR="00021CDF">
      <w:rPr>
        <w:rFonts w:ascii="Times New Roman" w:hAnsi="Times New Roman"/>
        <w:noProof/>
        <w:sz w:val="18"/>
      </w:rPr>
      <w:t>3</w:t>
    </w:r>
    <w:r w:rsidRPr="000F7D42">
      <w:rPr>
        <w:rFonts w:ascii="Times New Roman" w:hAnsi="Times New Roman"/>
        <w:sz w:val="18"/>
      </w:rPr>
      <w:fldChar w:fldCharType="end"/>
    </w:r>
    <w:r w:rsidR="000F7D42" w:rsidRPr="000F7D42">
      <w:rPr>
        <w:rFonts w:ascii="Times New Roman" w:hAnsi="Times New Roman"/>
        <w:sz w:val="18"/>
      </w:rPr>
      <w:t>/</w:t>
    </w:r>
    <w:r w:rsidR="003E303D">
      <w:rPr>
        <w:rFonts w:ascii="Times New Roman" w:hAnsi="Times New Roman" w:hint="eastAsia"/>
        <w:sz w:val="18"/>
        <w:lang w:eastAsia="zh-TW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DD35" w14:textId="77777777" w:rsidR="002B48A6" w:rsidRDefault="002B48A6">
      <w:r>
        <w:separator/>
      </w:r>
    </w:p>
  </w:footnote>
  <w:footnote w:type="continuationSeparator" w:id="0">
    <w:p w14:paraId="34DF7449" w14:textId="77777777" w:rsidR="002B48A6" w:rsidRDefault="002B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B1EBB" w14:textId="77777777" w:rsidR="00A153A8" w:rsidRDefault="004125DB">
    <w:pPr>
      <w:tabs>
        <w:tab w:val="left" w:pos="-1872"/>
        <w:tab w:val="left" w:pos="-1152"/>
        <w:tab w:val="right" w:pos="9078"/>
      </w:tabs>
      <w:spacing w:after="144" w:line="360" w:lineRule="atLeast"/>
      <w:ind w:left="540" w:right="6"/>
      <w:jc w:val="right"/>
      <w:rPr>
        <w:rFonts w:ascii="Times New Roman" w:hAnsi="Times New Roman"/>
      </w:rPr>
    </w:pPr>
    <w:r w:rsidRPr="00A153A8">
      <w:rPr>
        <w:rFonts w:ascii="Times New Roman" w:hAnsi="Times New Roman"/>
      </w:rPr>
      <w:tab/>
    </w:r>
  </w:p>
  <w:p w14:paraId="3E6AFDB4" w14:textId="125CE54F" w:rsidR="004125DB" w:rsidRPr="00A153A8" w:rsidRDefault="00677AA9">
    <w:pPr>
      <w:tabs>
        <w:tab w:val="left" w:pos="-1872"/>
        <w:tab w:val="left" w:pos="-1152"/>
        <w:tab w:val="right" w:pos="9078"/>
      </w:tabs>
      <w:spacing w:after="144" w:line="360" w:lineRule="atLeast"/>
      <w:ind w:left="540" w:right="6"/>
      <w:jc w:val="right"/>
      <w:rPr>
        <w:rFonts w:ascii="Times New Roman" w:hAnsi="Times New Roman"/>
        <w:b/>
        <w:u w:val="single"/>
      </w:rPr>
    </w:pPr>
    <w:r w:rsidRPr="00A153A8">
      <w:rPr>
        <w:rFonts w:ascii="Times New Roman" w:hAnsi="Times New Roman"/>
        <w:b/>
        <w:u w:val="single"/>
      </w:rPr>
      <w:t>Tender Ref. PLD-CS</w:t>
    </w:r>
    <w:r w:rsidR="00057F66">
      <w:rPr>
        <w:rFonts w:ascii="Times New Roman" w:hAnsi="Times New Roman" w:hint="eastAsia"/>
        <w:b/>
        <w:u w:val="single"/>
        <w:lang w:eastAsia="zh-TW"/>
      </w:rPr>
      <w:t>190</w:t>
    </w:r>
    <w:r w:rsidR="004125DB" w:rsidRPr="00A153A8">
      <w:rPr>
        <w:rFonts w:ascii="Times New Roman" w:hAnsi="Times New Roman"/>
        <w:b/>
        <w:u w:val="single"/>
      </w:rPr>
      <w:t>/</w:t>
    </w:r>
    <w:r w:rsidR="005A687F">
      <w:rPr>
        <w:rFonts w:ascii="Times New Roman" w:hAnsi="Times New Roman"/>
        <w:b/>
        <w:u w:val="single"/>
      </w:rPr>
      <w:t>2</w:t>
    </w:r>
    <w:r w:rsidR="00057F66">
      <w:rPr>
        <w:rFonts w:ascii="Times New Roman" w:hAnsi="Times New Roman" w:hint="eastAsia"/>
        <w:b/>
        <w:u w:val="single"/>
        <w:lang w:eastAsia="zh-TW"/>
      </w:rPr>
      <w:t>5</w:t>
    </w:r>
    <w:r w:rsidR="004125DB" w:rsidRPr="00A153A8">
      <w:rPr>
        <w:rFonts w:ascii="Times New Roman" w:hAnsi="Times New Roman"/>
        <w:b/>
        <w:u w:val="single"/>
      </w:rPr>
      <w:t>/</w:t>
    </w:r>
    <w:r w:rsidR="00980446" w:rsidRPr="00A153A8">
      <w:rPr>
        <w:rFonts w:ascii="Times New Roman" w:hAnsi="Times New Roman"/>
        <w:b/>
        <w:u w:val="single"/>
      </w:rPr>
      <w:t>33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43576" w14:textId="77777777" w:rsidR="00A153A8" w:rsidRDefault="004125DB">
    <w:pPr>
      <w:pStyle w:val="Heading2"/>
      <w:rPr>
        <w:u w:val="none"/>
      </w:rPr>
    </w:pPr>
    <w:r w:rsidRPr="001001A2">
      <w:rPr>
        <w:u w:val="none"/>
      </w:rPr>
      <w:tab/>
    </w:r>
  </w:p>
  <w:p w14:paraId="2297E165" w14:textId="097C8D54" w:rsidR="004125DB" w:rsidRPr="001001A2" w:rsidRDefault="00980446">
    <w:pPr>
      <w:pStyle w:val="Heading2"/>
    </w:pPr>
    <w:r w:rsidRPr="001001A2">
      <w:t>Tender Ref. PLD-CS</w:t>
    </w:r>
    <w:r w:rsidR="00EC33B0">
      <w:rPr>
        <w:rFonts w:hint="eastAsia"/>
        <w:lang w:eastAsia="zh-TW"/>
      </w:rPr>
      <w:t>19</w:t>
    </w:r>
    <w:r w:rsidR="005A687F">
      <w:t>0</w:t>
    </w:r>
    <w:r w:rsidRPr="001001A2">
      <w:t>/</w:t>
    </w:r>
    <w:r w:rsidR="005A687F">
      <w:t>2</w:t>
    </w:r>
    <w:r w:rsidR="00EC33B0">
      <w:rPr>
        <w:rFonts w:hint="eastAsia"/>
        <w:lang w:eastAsia="zh-TW"/>
      </w:rPr>
      <w:t>5</w:t>
    </w:r>
    <w:r w:rsidRPr="001001A2">
      <w:t>/33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610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61AF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44A46BE"/>
    <w:multiLevelType w:val="hybridMultilevel"/>
    <w:tmpl w:val="6C6AB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766377"/>
    <w:multiLevelType w:val="hybridMultilevel"/>
    <w:tmpl w:val="0F0CB2B0"/>
    <w:lvl w:ilvl="0" w:tplc="5BF2BD42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" w:eastAsia="Times New Roman" w:hAnsi="Courier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867B23"/>
    <w:multiLevelType w:val="hybridMultilevel"/>
    <w:tmpl w:val="FC7CB6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5273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42952"/>
    <w:multiLevelType w:val="multilevel"/>
    <w:tmpl w:val="B482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B8C092A"/>
    <w:multiLevelType w:val="multilevel"/>
    <w:tmpl w:val="977035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C8D7F91"/>
    <w:multiLevelType w:val="hybridMultilevel"/>
    <w:tmpl w:val="6DACE8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DDD66BE"/>
    <w:multiLevelType w:val="hybridMultilevel"/>
    <w:tmpl w:val="9036F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85282"/>
    <w:multiLevelType w:val="multilevel"/>
    <w:tmpl w:val="3E2EBDD0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ascii="Arial" w:hAnsi="Arial" w:hint="default"/>
        <w:b/>
        <w:i w:val="0"/>
        <w:strike w:val="0"/>
        <w:dstrike w:val="0"/>
        <w:sz w:val="22"/>
      </w:rPr>
    </w:lvl>
    <w:lvl w:ilvl="1">
      <w:start w:val="1"/>
      <w:numFmt w:val="decimal"/>
      <w:suff w:val="space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226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suff w:val="space"/>
      <w:lvlText w:val="%1.%2.%3.%4.%5"/>
      <w:lvlJc w:val="left"/>
      <w:pPr>
        <w:ind w:left="3900" w:hanging="3333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" w15:restartNumberingAfterBreak="0">
    <w:nsid w:val="26F0755E"/>
    <w:multiLevelType w:val="hybridMultilevel"/>
    <w:tmpl w:val="386E35CE"/>
    <w:lvl w:ilvl="0" w:tplc="E3F23D6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C531848"/>
    <w:multiLevelType w:val="hybridMultilevel"/>
    <w:tmpl w:val="55DAE45C"/>
    <w:lvl w:ilvl="0" w:tplc="040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8E61BCC"/>
    <w:multiLevelType w:val="singleLevel"/>
    <w:tmpl w:val="A370AA9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C40110D"/>
    <w:multiLevelType w:val="hybridMultilevel"/>
    <w:tmpl w:val="B088E80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2F5073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3EA334BC"/>
    <w:multiLevelType w:val="hybridMultilevel"/>
    <w:tmpl w:val="A232F2F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44C5206"/>
    <w:multiLevelType w:val="singleLevel"/>
    <w:tmpl w:val="C7BCF93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6E03690"/>
    <w:multiLevelType w:val="hybridMultilevel"/>
    <w:tmpl w:val="8814090C"/>
    <w:lvl w:ilvl="0" w:tplc="5EF0A42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82459A6"/>
    <w:multiLevelType w:val="multilevel"/>
    <w:tmpl w:val="0916062C"/>
    <w:lvl w:ilvl="0">
      <w:start w:val="1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60"/>
        </w:tabs>
        <w:ind w:left="1560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265"/>
        </w:tabs>
        <w:ind w:left="226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4BCF0CE7"/>
    <w:multiLevelType w:val="hybridMultilevel"/>
    <w:tmpl w:val="C9BE087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C512A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B633D61"/>
    <w:multiLevelType w:val="hybridMultilevel"/>
    <w:tmpl w:val="613E17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36469"/>
    <w:multiLevelType w:val="hybridMultilevel"/>
    <w:tmpl w:val="94085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30B38"/>
    <w:multiLevelType w:val="hybridMultilevel"/>
    <w:tmpl w:val="4CFCD954"/>
    <w:lvl w:ilvl="0" w:tplc="040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25" w15:restartNumberingAfterBreak="0">
    <w:nsid w:val="6B1A253B"/>
    <w:multiLevelType w:val="hybridMultilevel"/>
    <w:tmpl w:val="055CD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30547F"/>
    <w:multiLevelType w:val="multilevel"/>
    <w:tmpl w:val="1780CC00"/>
    <w:lvl w:ilvl="0">
      <w:start w:val="1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2"/>
        </w:tabs>
        <w:ind w:left="1552" w:hanging="840"/>
      </w:pPr>
      <w:rPr>
        <w:rFonts w:hint="default"/>
      </w:rPr>
    </w:lvl>
    <w:lvl w:ilvl="2">
      <w:start w:val="3"/>
      <w:numFmt w:val="decimal"/>
      <w:lvlText w:val="15.%2.%3"/>
      <w:lvlJc w:val="left"/>
      <w:pPr>
        <w:tabs>
          <w:tab w:val="num" w:pos="2264"/>
        </w:tabs>
        <w:ind w:left="226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6"/>
        </w:tabs>
        <w:ind w:left="2976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27" w15:restartNumberingAfterBreak="0">
    <w:nsid w:val="6DCA2DFC"/>
    <w:multiLevelType w:val="hybridMultilevel"/>
    <w:tmpl w:val="BB5E9B9A"/>
    <w:lvl w:ilvl="0" w:tplc="0409000F">
      <w:start w:val="1"/>
      <w:numFmt w:val="decimal"/>
      <w:lvlText w:val="%1."/>
      <w:lvlJc w:val="left"/>
      <w:pPr>
        <w:ind w:left="720" w:hanging="360"/>
      </w:pPr>
      <w:rPr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4D2B95"/>
    <w:multiLevelType w:val="hybridMultilevel"/>
    <w:tmpl w:val="4DEE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DFD"/>
    <w:multiLevelType w:val="hybridMultilevel"/>
    <w:tmpl w:val="613E1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75E42"/>
    <w:multiLevelType w:val="hybridMultilevel"/>
    <w:tmpl w:val="AF968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649560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1" w:hanging="283"/>
        </w:pPr>
        <w:rPr>
          <w:rFonts w:ascii="Symbol" w:hAnsi="Symbol" w:hint="default"/>
        </w:rPr>
      </w:lvl>
    </w:lvlOverride>
  </w:num>
  <w:num w:numId="2" w16cid:durableId="345441882">
    <w:abstractNumId w:val="19"/>
  </w:num>
  <w:num w:numId="3" w16cid:durableId="1122304921">
    <w:abstractNumId w:val="6"/>
  </w:num>
  <w:num w:numId="4" w16cid:durableId="970553550">
    <w:abstractNumId w:val="17"/>
  </w:num>
  <w:num w:numId="5" w16cid:durableId="135463037">
    <w:abstractNumId w:val="7"/>
  </w:num>
  <w:num w:numId="6" w16cid:durableId="1182278033">
    <w:abstractNumId w:val="26"/>
  </w:num>
  <w:num w:numId="7" w16cid:durableId="1556506082">
    <w:abstractNumId w:val="12"/>
  </w:num>
  <w:num w:numId="8" w16cid:durableId="217787289">
    <w:abstractNumId w:val="0"/>
  </w:num>
  <w:num w:numId="9" w16cid:durableId="1505240963">
    <w:abstractNumId w:val="1"/>
  </w:num>
  <w:num w:numId="10" w16cid:durableId="1365205480">
    <w:abstractNumId w:val="24"/>
  </w:num>
  <w:num w:numId="11" w16cid:durableId="1939100682">
    <w:abstractNumId w:val="29"/>
  </w:num>
  <w:num w:numId="12" w16cid:durableId="595941113">
    <w:abstractNumId w:val="22"/>
  </w:num>
  <w:num w:numId="13" w16cid:durableId="1781756091">
    <w:abstractNumId w:val="8"/>
  </w:num>
  <w:num w:numId="14" w16cid:durableId="1056050091">
    <w:abstractNumId w:val="13"/>
  </w:num>
  <w:num w:numId="15" w16cid:durableId="2032992826">
    <w:abstractNumId w:val="11"/>
  </w:num>
  <w:num w:numId="16" w16cid:durableId="302391609">
    <w:abstractNumId w:val="4"/>
  </w:num>
  <w:num w:numId="17" w16cid:durableId="995767613">
    <w:abstractNumId w:val="18"/>
  </w:num>
  <w:num w:numId="18" w16cid:durableId="766732871">
    <w:abstractNumId w:val="5"/>
  </w:num>
  <w:num w:numId="19" w16cid:durableId="1262879528">
    <w:abstractNumId w:val="10"/>
  </w:num>
  <w:num w:numId="20" w16cid:durableId="2777649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9401866">
    <w:abstractNumId w:val="21"/>
  </w:num>
  <w:num w:numId="22" w16cid:durableId="987903065">
    <w:abstractNumId w:val="2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ascii="Symbol" w:hAnsi="Symbol" w:hint="default"/>
          <w:sz w:val="16"/>
        </w:rPr>
      </w:lvl>
    </w:lvlOverride>
  </w:num>
  <w:num w:numId="23" w16cid:durableId="126358775">
    <w:abstractNumId w:val="16"/>
  </w:num>
  <w:num w:numId="24" w16cid:durableId="1354263661">
    <w:abstractNumId w:val="21"/>
  </w:num>
  <w:num w:numId="25" w16cid:durableId="1574924544">
    <w:abstractNumId w:val="3"/>
  </w:num>
  <w:num w:numId="26" w16cid:durableId="700325667">
    <w:abstractNumId w:val="30"/>
  </w:num>
  <w:num w:numId="27" w16cid:durableId="6947658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361859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59586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8987077">
    <w:abstractNumId w:val="9"/>
  </w:num>
  <w:num w:numId="31" w16cid:durableId="486482551">
    <w:abstractNumId w:val="15"/>
  </w:num>
  <w:num w:numId="32" w16cid:durableId="2046589018">
    <w:abstractNumId w:val="23"/>
  </w:num>
  <w:num w:numId="33" w16cid:durableId="271788407">
    <w:abstractNumId w:val="28"/>
  </w:num>
  <w:num w:numId="34" w16cid:durableId="18103223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intFractionalCharacterWidth/>
  <w:mirrorMargins/>
  <w:hideGrammaticalErrors/>
  <w:activeWritingStyle w:appName="MSWord" w:lang="en-US" w:vendorID="8" w:dllVersion="513" w:checkStyle="1"/>
  <w:proofState w:spelling="clean" w:grammar="clean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EB2"/>
    <w:rsid w:val="000020C3"/>
    <w:rsid w:val="00003316"/>
    <w:rsid w:val="00021CDF"/>
    <w:rsid w:val="000266B1"/>
    <w:rsid w:val="000557C4"/>
    <w:rsid w:val="00057F66"/>
    <w:rsid w:val="00074623"/>
    <w:rsid w:val="000A4C02"/>
    <w:rsid w:val="000F7D42"/>
    <w:rsid w:val="001001A2"/>
    <w:rsid w:val="00111D0B"/>
    <w:rsid w:val="00141476"/>
    <w:rsid w:val="001D32C6"/>
    <w:rsid w:val="001E13ED"/>
    <w:rsid w:val="001E55F5"/>
    <w:rsid w:val="002051FE"/>
    <w:rsid w:val="0024026D"/>
    <w:rsid w:val="0028603F"/>
    <w:rsid w:val="0029038A"/>
    <w:rsid w:val="00294F74"/>
    <w:rsid w:val="002A29A1"/>
    <w:rsid w:val="002A3EC6"/>
    <w:rsid w:val="002B48A6"/>
    <w:rsid w:val="002C03CB"/>
    <w:rsid w:val="00300119"/>
    <w:rsid w:val="00332006"/>
    <w:rsid w:val="00365171"/>
    <w:rsid w:val="00395398"/>
    <w:rsid w:val="003D0967"/>
    <w:rsid w:val="003E303D"/>
    <w:rsid w:val="00401A0E"/>
    <w:rsid w:val="00407DFC"/>
    <w:rsid w:val="004125DB"/>
    <w:rsid w:val="00473413"/>
    <w:rsid w:val="00491B08"/>
    <w:rsid w:val="004957AA"/>
    <w:rsid w:val="004A5AFF"/>
    <w:rsid w:val="004C712E"/>
    <w:rsid w:val="004D7EB2"/>
    <w:rsid w:val="004E6AFE"/>
    <w:rsid w:val="005432A9"/>
    <w:rsid w:val="005501C2"/>
    <w:rsid w:val="00582EAA"/>
    <w:rsid w:val="005A5BDA"/>
    <w:rsid w:val="005A687F"/>
    <w:rsid w:val="005F1C11"/>
    <w:rsid w:val="005F7580"/>
    <w:rsid w:val="00607F01"/>
    <w:rsid w:val="00617407"/>
    <w:rsid w:val="00622CAD"/>
    <w:rsid w:val="0066379F"/>
    <w:rsid w:val="00677AA9"/>
    <w:rsid w:val="006B5582"/>
    <w:rsid w:val="006F1D8B"/>
    <w:rsid w:val="007056CF"/>
    <w:rsid w:val="00744952"/>
    <w:rsid w:val="00755DCF"/>
    <w:rsid w:val="00757577"/>
    <w:rsid w:val="007B1864"/>
    <w:rsid w:val="007C4B59"/>
    <w:rsid w:val="007E50B4"/>
    <w:rsid w:val="007F4794"/>
    <w:rsid w:val="00854EED"/>
    <w:rsid w:val="008830AB"/>
    <w:rsid w:val="008A6066"/>
    <w:rsid w:val="00915F0B"/>
    <w:rsid w:val="009240E6"/>
    <w:rsid w:val="009314D5"/>
    <w:rsid w:val="00942939"/>
    <w:rsid w:val="00966826"/>
    <w:rsid w:val="00980446"/>
    <w:rsid w:val="00986572"/>
    <w:rsid w:val="009C72D9"/>
    <w:rsid w:val="00A0611B"/>
    <w:rsid w:val="00A153A8"/>
    <w:rsid w:val="00A52C16"/>
    <w:rsid w:val="00A96E2A"/>
    <w:rsid w:val="00AA6CC1"/>
    <w:rsid w:val="00AB09E4"/>
    <w:rsid w:val="00AE6575"/>
    <w:rsid w:val="00AE712B"/>
    <w:rsid w:val="00B15E0E"/>
    <w:rsid w:val="00B164EC"/>
    <w:rsid w:val="00B30DFF"/>
    <w:rsid w:val="00B5275E"/>
    <w:rsid w:val="00B74DC4"/>
    <w:rsid w:val="00B86595"/>
    <w:rsid w:val="00B87B77"/>
    <w:rsid w:val="00BA4B2F"/>
    <w:rsid w:val="00BB0EF4"/>
    <w:rsid w:val="00BB5D20"/>
    <w:rsid w:val="00BC2C6B"/>
    <w:rsid w:val="00BC317C"/>
    <w:rsid w:val="00BC392D"/>
    <w:rsid w:val="00BC5D3C"/>
    <w:rsid w:val="00BD3458"/>
    <w:rsid w:val="00BD37CB"/>
    <w:rsid w:val="00BD75B3"/>
    <w:rsid w:val="00BF0971"/>
    <w:rsid w:val="00C06305"/>
    <w:rsid w:val="00C0641F"/>
    <w:rsid w:val="00C11648"/>
    <w:rsid w:val="00C417E8"/>
    <w:rsid w:val="00C46953"/>
    <w:rsid w:val="00C57F84"/>
    <w:rsid w:val="00C60E16"/>
    <w:rsid w:val="00C721DD"/>
    <w:rsid w:val="00C84227"/>
    <w:rsid w:val="00CE0309"/>
    <w:rsid w:val="00D120FC"/>
    <w:rsid w:val="00D2742A"/>
    <w:rsid w:val="00D324C9"/>
    <w:rsid w:val="00D43A57"/>
    <w:rsid w:val="00D52B9C"/>
    <w:rsid w:val="00D72A43"/>
    <w:rsid w:val="00DF483D"/>
    <w:rsid w:val="00DF5175"/>
    <w:rsid w:val="00E14584"/>
    <w:rsid w:val="00E35A13"/>
    <w:rsid w:val="00E73193"/>
    <w:rsid w:val="00E95CB0"/>
    <w:rsid w:val="00EC33B0"/>
    <w:rsid w:val="00ED4880"/>
    <w:rsid w:val="00EE5784"/>
    <w:rsid w:val="00EF2C3F"/>
    <w:rsid w:val="00F17917"/>
    <w:rsid w:val="00F513C3"/>
    <w:rsid w:val="00F7344D"/>
    <w:rsid w:val="00F940ED"/>
    <w:rsid w:val="00FC0548"/>
    <w:rsid w:val="00FE652C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A3C6452"/>
  <w15:chartTrackingRefBased/>
  <w15:docId w15:val="{4F73A165-F0B3-4BEF-A2A9-A07F5E7B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hAnsi="Courier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tLeast"/>
      <w:jc w:val="both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872"/>
        <w:tab w:val="left" w:pos="-1152"/>
        <w:tab w:val="right" w:pos="9078"/>
      </w:tabs>
      <w:spacing w:after="144" w:line="360" w:lineRule="atLeast"/>
      <w:ind w:left="540" w:right="6"/>
      <w:jc w:val="right"/>
      <w:outlineLvl w:val="1"/>
    </w:pPr>
    <w:rPr>
      <w:rFonts w:ascii="Times New Roman" w:hAnsi="Times New Roman"/>
      <w:b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tLeast"/>
      <w:jc w:val="center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-720"/>
        <w:tab w:val="left" w:pos="142"/>
        <w:tab w:val="left" w:pos="709"/>
        <w:tab w:val="left" w:pos="1134"/>
      </w:tabs>
      <w:ind w:left="709" w:right="-166"/>
      <w:jc w:val="both"/>
      <w:outlineLvl w:val="3"/>
    </w:pPr>
    <w:rPr>
      <w:rFonts w:ascii="Times New Roman" w:hAnsi="Times New Roman"/>
      <w:b/>
      <w:bCs/>
      <w:u w:val="single"/>
    </w:rPr>
  </w:style>
  <w:style w:type="paragraph" w:styleId="Heading5">
    <w:name w:val="heading 5"/>
    <w:basedOn w:val="Normal"/>
    <w:next w:val="Normal"/>
    <w:qFormat/>
    <w:pPr>
      <w:keepNext/>
      <w:ind w:right="-166"/>
      <w:jc w:val="both"/>
      <w:outlineLvl w:val="4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"/>
    <w:uiPriority w:val="99"/>
    <w:semiHidden/>
    <w:pPr>
      <w:tabs>
        <w:tab w:val="center" w:pos="4819"/>
        <w:tab w:val="right" w:pos="9071"/>
      </w:tabs>
    </w:pPr>
  </w:style>
  <w:style w:type="paragraph" w:styleId="BodyTextIndent">
    <w:name w:val="Body Text Indent"/>
    <w:basedOn w:val="Normal"/>
    <w:semiHidden/>
    <w:pPr>
      <w:tabs>
        <w:tab w:val="left" w:pos="-1872"/>
        <w:tab w:val="left" w:pos="-1152"/>
        <w:tab w:val="left" w:pos="709"/>
        <w:tab w:val="left" w:pos="1418"/>
      </w:tabs>
      <w:spacing w:line="360" w:lineRule="atLeast"/>
      <w:ind w:left="720"/>
      <w:jc w:val="both"/>
    </w:pPr>
    <w:rPr>
      <w:rFonts w:ascii="Times New Roman" w:hAnsi="Times New Roman"/>
    </w:rPr>
  </w:style>
  <w:style w:type="paragraph" w:customStyle="1" w:styleId="Heading">
    <w:name w:val="Heading"/>
    <w:pPr>
      <w:tabs>
        <w:tab w:val="center" w:pos="4680"/>
      </w:tabs>
      <w:suppressAutoHyphens/>
    </w:pPr>
    <w:rPr>
      <w:rFonts w:ascii="Courier" w:hAnsi="Courier"/>
      <w:b/>
      <w:sz w:val="29"/>
      <w:lang w:eastAsia="en-US"/>
    </w:rPr>
  </w:style>
  <w:style w:type="paragraph" w:styleId="BlockText">
    <w:name w:val="Block Text"/>
    <w:basedOn w:val="Normal"/>
    <w:semiHidden/>
    <w:pPr>
      <w:tabs>
        <w:tab w:val="left" w:pos="-720"/>
        <w:tab w:val="left" w:pos="-284"/>
      </w:tabs>
      <w:ind w:left="720" w:right="562"/>
      <w:jc w:val="both"/>
    </w:pPr>
    <w:rPr>
      <w:rFonts w:ascii="Times New Roman" w:hAnsi="Times New Roman"/>
    </w:rPr>
  </w:style>
  <w:style w:type="paragraph" w:styleId="Subtitle">
    <w:name w:val="Subtitle"/>
    <w:basedOn w:val="Title"/>
    <w:next w:val="BodyText"/>
    <w:link w:val="SubtitleChar"/>
    <w:uiPriority w:val="99"/>
    <w:qFormat/>
    <w:pPr>
      <w:keepNext/>
      <w:keepLines/>
      <w:spacing w:before="0" w:after="240" w:line="360" w:lineRule="auto"/>
      <w:outlineLvl w:val="9"/>
    </w:pPr>
    <w:rPr>
      <w:rFonts w:cs="Times New Roman"/>
      <w:b w:val="0"/>
      <w:bCs w:val="0"/>
      <w:i/>
      <w:sz w:val="28"/>
      <w:szCs w:val="20"/>
      <w:lang w:val="en-GB"/>
    </w:rPr>
  </w:style>
  <w:style w:type="paragraph" w:styleId="ListBullet2">
    <w:name w:val="List Bullet 2"/>
    <w:basedOn w:val="ListBullet"/>
    <w:semiHidden/>
    <w:pPr>
      <w:tabs>
        <w:tab w:val="clear" w:pos="360"/>
      </w:tabs>
      <w:spacing w:after="160" w:line="360" w:lineRule="auto"/>
      <w:ind w:left="1080"/>
    </w:pPr>
    <w:rPr>
      <w:rFonts w:ascii="Times New Roman" w:hAnsi="Times New Roman"/>
      <w:sz w:val="20"/>
      <w:lang w:val="en-GB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Bullet">
    <w:name w:val="List Bullet"/>
    <w:basedOn w:val="Normal"/>
    <w:autoRedefine/>
    <w:semiHidden/>
    <w:pPr>
      <w:numPr>
        <w:numId w:val="9"/>
      </w:numPr>
    </w:pPr>
  </w:style>
  <w:style w:type="paragraph" w:styleId="BodyTextIndent2">
    <w:name w:val="Body Text Indent 2"/>
    <w:basedOn w:val="Normal"/>
    <w:semiHidden/>
    <w:pPr>
      <w:tabs>
        <w:tab w:val="left" w:pos="-1872"/>
        <w:tab w:val="left" w:pos="-1152"/>
        <w:tab w:val="left" w:pos="-568"/>
        <w:tab w:val="left" w:pos="709"/>
        <w:tab w:val="left" w:pos="1418"/>
      </w:tabs>
      <w:spacing w:line="360" w:lineRule="atLeast"/>
      <w:ind w:firstLine="709"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semiHidden/>
    <w:pPr>
      <w:tabs>
        <w:tab w:val="left" w:pos="-1872"/>
        <w:tab w:val="left" w:pos="-1152"/>
        <w:tab w:val="left" w:pos="-568"/>
        <w:tab w:val="left" w:pos="709"/>
        <w:tab w:val="left" w:pos="1418"/>
      </w:tabs>
      <w:spacing w:line="360" w:lineRule="atLeast"/>
      <w:ind w:left="709"/>
      <w:jc w:val="both"/>
    </w:pPr>
    <w:rPr>
      <w:rFonts w:ascii="Times New Roman" w:hAnsi="Times New Roman"/>
    </w:rPr>
  </w:style>
  <w:style w:type="character" w:styleId="PageNumber">
    <w:name w:val="page number"/>
    <w:basedOn w:val="DefaultParagraphFont"/>
    <w:semiHidden/>
  </w:style>
  <w:style w:type="character" w:customStyle="1" w:styleId="HeaderChar">
    <w:name w:val="Header Char"/>
    <w:link w:val="Header"/>
    <w:uiPriority w:val="99"/>
    <w:semiHidden/>
    <w:rsid w:val="0029038A"/>
    <w:rPr>
      <w:rFonts w:ascii="Courier" w:hAnsi="Courier"/>
      <w:sz w:val="24"/>
      <w:lang w:eastAsia="en-US"/>
    </w:rPr>
  </w:style>
  <w:style w:type="character" w:customStyle="1" w:styleId="SubtitleChar">
    <w:name w:val="Subtitle Char"/>
    <w:link w:val="Subtitle"/>
    <w:uiPriority w:val="99"/>
    <w:rsid w:val="0029038A"/>
    <w:rPr>
      <w:rFonts w:ascii="Arial" w:hAnsi="Arial"/>
      <w:i/>
      <w:kern w:val="28"/>
      <w:sz w:val="28"/>
      <w:lang w:val="en-GB" w:eastAsia="en-US"/>
    </w:rPr>
  </w:style>
  <w:style w:type="paragraph" w:customStyle="1" w:styleId="BLANK">
    <w:name w:val="BLANK"/>
    <w:basedOn w:val="Normal"/>
    <w:rsid w:val="0029038A"/>
    <w:pPr>
      <w:spacing w:line="360" w:lineRule="auto"/>
    </w:pPr>
    <w:rPr>
      <w:rFonts w:ascii="Courier New" w:hAnsi="Courier New" w:cs="Courier New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744952"/>
    <w:pPr>
      <w:ind w:left="720"/>
    </w:pPr>
  </w:style>
  <w:style w:type="paragraph" w:styleId="BodyText2">
    <w:name w:val="Body Text 2"/>
    <w:basedOn w:val="Normal"/>
    <w:rsid w:val="004125DB"/>
    <w:pPr>
      <w:spacing w:after="120" w:line="480" w:lineRule="auto"/>
    </w:pPr>
  </w:style>
  <w:style w:type="character" w:styleId="Hyperlink">
    <w:name w:val="Hyperlink"/>
    <w:uiPriority w:val="99"/>
    <w:rsid w:val="003320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sf.gov.mo/tax/tax_faq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sf.gov.mo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DE88-4B4A-47C1-975E-21EA184C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786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 DOCUMENTS</vt:lpstr>
    </vt:vector>
  </TitlesOfParts>
  <Company>CEM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 DOCUMENTS</dc:title>
  <dc:subject/>
  <dc:creator>Jenny</dc:creator>
  <cp:keywords/>
  <cp:lastModifiedBy>Mona, Tam Man Lei</cp:lastModifiedBy>
  <cp:revision>30</cp:revision>
  <cp:lastPrinted>2025-11-07T08:18:00Z</cp:lastPrinted>
  <dcterms:created xsi:type="dcterms:W3CDTF">2024-04-19T04:47:00Z</dcterms:created>
  <dcterms:modified xsi:type="dcterms:W3CDTF">2025-11-07T08:20:00Z</dcterms:modified>
</cp:coreProperties>
</file>